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b w:val="1"/>
          <w:bCs w:val="1"/>
          <w:sz w:val="40"/>
          <w:szCs w:val="40"/>
        </w:rPr>
      </w:pPr>
      <w:r w:rsidDel="00000000" w:rsidR="00000000" w:rsidRPr="00000000">
        <w:rPr>
          <w:i w:val="1"/>
          <w:iCs w:val="1"/>
          <w:sz w:val="40"/>
          <w:szCs w:val="40"/>
          <w:rtl w:val="0"/>
        </w:rPr>
        <w:t xml:space="preserve">Compensation Scheme of Last Resort (CSLR): Reform options to support ongoing sustainability </w:t>
      </w:r>
      <w:r w:rsidDel="00000000" w:rsidR="00000000" w:rsidRPr="00000000">
        <w:rPr>
          <w:b w:val="1"/>
          <w:bCs w:val="1"/>
          <w:sz w:val="40"/>
          <w:szCs w:val="40"/>
          <w:rtl w:val="0"/>
        </w:rPr>
        <w:t xml:space="preserve">Submission helper.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aim of this resource is to reduce any friction in the process of making a submission to the </w:t>
      </w:r>
      <w:r w:rsidDel="00000000" w:rsidR="00000000" w:rsidRPr="00000000">
        <w:rPr>
          <w:i w:val="1"/>
          <w:iCs w:val="1"/>
          <w:rtl w:val="0"/>
        </w:rPr>
        <w:t xml:space="preserve">Compensation Scheme of Last Report Reform options to support ongoing sustainability submission</w:t>
      </w:r>
      <w:r w:rsidDel="00000000" w:rsidR="00000000" w:rsidRPr="00000000">
        <w:rPr>
          <w:rtl w:val="0"/>
        </w:rPr>
        <w:t xml:space="preserve"> consultation. </w:t>
      </w:r>
    </w:p>
    <w:p w:rsidR="00000000" w:rsidDel="00000000" w:rsidP="00000000" w:rsidRDefault="00000000" w:rsidRPr="00000000" w14:paraId="00000004">
      <w:pPr>
        <w:rPr/>
      </w:pPr>
      <w:hyperlink r:id="rId7">
        <w:r w:rsidDel="00000000" w:rsidR="00000000" w:rsidRPr="00000000">
          <w:rPr>
            <w:color w:val="1155cc"/>
            <w:u w:val="single"/>
            <w:rtl w:val="0"/>
          </w:rPr>
          <w:t xml:space="preserve">https://consult.treasury.gov.au/c2026-725938</w:t>
        </w:r>
      </w:hyperlink>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We believe that while it is important to have a united voice through the FAAA, having additional rational and considered submissions from the front lines will balance the overall message and hopefully ensure the Advice Profession is not left behind in any changes. </w:t>
      </w:r>
    </w:p>
    <w:p w:rsidR="00000000" w:rsidDel="00000000" w:rsidP="00000000" w:rsidRDefault="00000000" w:rsidRPr="00000000" w14:paraId="00000006">
      <w:pPr>
        <w:rPr/>
      </w:pPr>
      <w:r w:rsidDel="00000000" w:rsidR="00000000" w:rsidRPr="00000000">
        <w:rPr>
          <w:rtl w:val="0"/>
        </w:rPr>
        <w:t xml:space="preserve">As such we have provided a summary of the questions under each proposal, a Firestarter, that you can just add your parts to, and the key points we discussed in the Podcast. </w:t>
      </w:r>
    </w:p>
    <w:p w:rsidR="00000000" w:rsidDel="00000000" w:rsidP="00000000" w:rsidRDefault="00000000" w:rsidRPr="00000000" w14:paraId="00000007">
      <w:pPr>
        <w:rPr/>
      </w:pPr>
      <w:r w:rsidDel="00000000" w:rsidR="00000000" w:rsidRPr="00000000">
        <w:rPr>
          <w:rtl w:val="0"/>
        </w:rPr>
        <w:t xml:space="preserve">Remember, we are just two blokes with microphones; so take the points we make in the context they were produced: live discussion, and thought exercise. </w:t>
      </w:r>
    </w:p>
    <w:p w:rsidR="00000000" w:rsidDel="00000000" w:rsidP="00000000" w:rsidRDefault="00000000" w:rsidRPr="00000000" w14:paraId="00000008">
      <w:pPr>
        <w:rPr>
          <w:i w:val="1"/>
          <w:iCs w:val="1"/>
        </w:rPr>
      </w:pPr>
      <w:r w:rsidDel="00000000" w:rsidR="00000000" w:rsidRPr="00000000">
        <w:rPr>
          <w:i w:val="1"/>
          <w:iCs w:val="1"/>
          <w:rtl w:val="0"/>
        </w:rPr>
        <w:t xml:space="preserve">Some tips</w:t>
      </w:r>
    </w:p>
    <w:p w:rsidR="00000000" w:rsidDel="00000000" w:rsidP="00000000" w:rsidRDefault="00000000" w:rsidRPr="00000000" w14:paraId="0000000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Write it yourself.</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If too many letters look the same, they get bundled together. </w:t>
      </w:r>
    </w:p>
    <w:p w:rsidR="00000000" w:rsidDel="00000000" w:rsidP="00000000" w:rsidRDefault="00000000" w:rsidRPr="00000000" w14:paraId="0000000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Be human.</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Treasury read thousands of submissions, they can spot AI a mile away. A better use than getting AI to draft, is getting it to check your submission against the submission, to give you feedback about straying off track.  </w:t>
      </w:r>
    </w:p>
    <w:p w:rsidR="00000000" w:rsidDel="00000000" w:rsidP="00000000" w:rsidRDefault="00000000" w:rsidRPr="00000000" w14:paraId="0000000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Rebut.</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Where you believe another submission may make a contrary point, without naming names, provide rebuttal.  </w:t>
      </w:r>
    </w:p>
    <w:p w:rsidR="00000000" w:rsidDel="00000000" w:rsidP="00000000" w:rsidRDefault="00000000" w:rsidRPr="00000000" w14:paraId="0000000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Stay on topic.</w:t>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You are making a submission that can influence the mechanics of the CSLR, not abolish it. Respond to the items put forth. </w:t>
      </w:r>
    </w:p>
    <w:p w:rsidR="00000000" w:rsidDel="00000000" w:rsidP="00000000" w:rsidRDefault="00000000" w:rsidRPr="00000000" w14:paraId="0000000D">
      <w:pPr>
        <w:rPr/>
      </w:pPr>
      <w:r w:rsidDel="00000000" w:rsidR="00000000" w:rsidRPr="00000000">
        <w:rPr>
          <w:rtl w:val="0"/>
        </w:rPr>
        <w:t xml:space="preserve">For additional help</w:t>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The Treasury guidelines: </w:t>
      </w:r>
    </w:p>
    <w:p w:rsidR="00000000" w:rsidDel="00000000" w:rsidP="00000000" w:rsidRDefault="00000000" w:rsidRPr="00000000" w14:paraId="0000000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8.00000000000006" w:lineRule="auto"/>
        <w:ind w:left="1440" w:right="0" w:hanging="360"/>
        <w:jc w:val="left"/>
        <w:rPr/>
      </w:pPr>
      <w:hyperlink r:id="rId8">
        <w:r w:rsidDel="00000000" w:rsidR="00000000" w:rsidRPr="00000000">
          <w:rPr>
            <w:rFonts w:ascii="Aptos" w:cs="Aptos" w:eastAsia="Aptos" w:hAnsi="Aptos"/>
            <w:b w:val="0"/>
            <w:bCs w:val="0"/>
            <w:i w:val="0"/>
            <w:iCs w:val="0"/>
            <w:smallCaps w:val="0"/>
            <w:strike w:val="0"/>
            <w:color w:val="467886"/>
            <w:sz w:val="24"/>
            <w:szCs w:val="24"/>
            <w:u w:val="single"/>
            <w:shd w:fill="auto" w:val="clear"/>
            <w:vertAlign w:val="baseline"/>
            <w:rtl w:val="0"/>
          </w:rPr>
          <w:t xml:space="preserve">Submission guidelines | Treasury.gov.au</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FAAA CSLR Hub which has submissions you can refer to for structure</w:t>
      </w:r>
    </w:p>
    <w:p w:rsidR="00000000" w:rsidDel="00000000" w:rsidP="00000000" w:rsidRDefault="00000000" w:rsidRPr="00000000" w14:paraId="0000001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left"/>
        <w:rPr/>
      </w:pPr>
      <w:hyperlink r:id="rId9">
        <w:r w:rsidDel="00000000" w:rsidR="00000000" w:rsidRPr="00000000">
          <w:rPr>
            <w:rFonts w:ascii="Aptos" w:cs="Aptos" w:eastAsia="Aptos" w:hAnsi="Aptos"/>
            <w:b w:val="0"/>
            <w:bCs w:val="0"/>
            <w:i w:val="0"/>
            <w:iCs w:val="0"/>
            <w:smallCaps w:val="0"/>
            <w:strike w:val="0"/>
            <w:color w:val="467886"/>
            <w:sz w:val="24"/>
            <w:szCs w:val="24"/>
            <w:u w:val="single"/>
            <w:shd w:fill="auto" w:val="clear"/>
            <w:vertAlign w:val="baseline"/>
            <w:rtl w:val="0"/>
          </w:rPr>
          <w:t xml:space="preserve">CSLR Hub - Financial Advice Association Australia</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Play" w:cs="Play" w:eastAsia="Play" w:hAnsi="Play"/>
          <w:b w:val="1"/>
          <w:bCs w:val="1"/>
          <w:i w:val="0"/>
          <w:iCs w:val="0"/>
          <w:smallCaps w:val="0"/>
          <w:strike w:val="0"/>
          <w:color w:val="0a3041"/>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4">
      <w:pPr>
        <w:rPr>
          <w:rFonts w:ascii="Play" w:cs="Play" w:eastAsia="Play" w:hAnsi="Play"/>
          <w:color w:val="0f476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5">
      <w:pPr>
        <w:pStyle w:val="Heading1"/>
        <w:rPr/>
      </w:pPr>
      <w:bookmarkStart w:colFirst="0" w:colLast="0" w:name="_heading=h.munh6xuyr839" w:id="0"/>
      <w:bookmarkEnd w:id="0"/>
      <w:r w:rsidDel="00000000" w:rsidR="00000000" w:rsidRPr="00000000">
        <w:rPr>
          <w:rtl w:val="0"/>
        </w:rPr>
        <w:t xml:space="preserve">Contents</w:t>
      </w:r>
    </w:p>
    <w:sdt>
      <w:sdtPr>
        <w:id w:val="1767475562"/>
        <w:docPartObj>
          <w:docPartGallery w:val="Table of Contents"/>
          <w:docPartUnique w:val="1"/>
        </w:docPartObj>
      </w:sdtPr>
      <w:sdtContent>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w:instrText>
            <w:fldChar w:fldCharType="separate"/>
          </w:r>
          <w:hyperlink w:anchor="_heading=h.munh6xuyr839">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Contents</w:t>
              <w:tab/>
              <w:t xml:space="preserve">2</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2k12fgj37ygv">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Questions Proposed by the Paper</w:t>
              <w:tab/>
              <w:t xml:space="preserve">3</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39mov18wsdi7">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Firestarter</w:t>
              <w:tab/>
              <w:t xml:space="preserve">7</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016"/>
            </w:tabs>
            <w:spacing w:after="10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hyperlink w:anchor="_heading=h.1veudgmnxfs">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Key Points from the Podcast Discussion</w:t>
              <w:tab/>
              <w:t xml:space="preserve">11</w:t>
            </w:r>
          </w:hyperlink>
          <w:r w:rsidDel="00000000" w:rsidR="00000000" w:rsidRPr="00000000">
            <w:rPr>
              <w:rtl w:val="0"/>
            </w:rPr>
          </w:r>
        </w:p>
        <w:p w:rsidR="00000000" w:rsidDel="00000000" w:rsidP="00000000" w:rsidRDefault="00000000" w:rsidRPr="00000000" w14:paraId="0000001A">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B">
      <w:pPr>
        <w:rPr>
          <w:rFonts w:ascii="Play" w:cs="Play" w:eastAsia="Play" w:hAnsi="Play"/>
          <w:color w:val="0f4761"/>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C">
      <w:pPr>
        <w:pStyle w:val="Heading1"/>
        <w:rPr/>
      </w:pPr>
      <w:bookmarkStart w:colFirst="0" w:colLast="0" w:name="_heading=h.2k12fgj37ygv" w:id="1"/>
      <w:bookmarkEnd w:id="1"/>
      <w:r w:rsidDel="00000000" w:rsidR="00000000" w:rsidRPr="00000000">
        <w:rPr>
          <w:rtl w:val="0"/>
        </w:rPr>
        <w:t xml:space="preserve">Questions Proposed by the Paper</w:t>
      </w:r>
    </w:p>
    <w:p w:rsidR="00000000" w:rsidDel="00000000" w:rsidP="00000000" w:rsidRDefault="00000000" w:rsidRPr="00000000" w14:paraId="0000001D">
      <w:pPr>
        <w:rPr/>
      </w:pPr>
      <w:r w:rsidDel="00000000" w:rsidR="00000000" w:rsidRPr="00000000">
        <w:rPr>
          <w:b w:val="1"/>
          <w:bCs w:val="1"/>
          <w:rtl w:val="0"/>
        </w:rPr>
        <w:t xml:space="preserve">Proposal 1: Enabling CSLR to deduct payments from compensation</w:t>
      </w:r>
      <w:r w:rsidDel="00000000" w:rsidR="00000000" w:rsidRPr="00000000">
        <w:rPr>
          <w:rtl w:val="0"/>
        </w:rPr>
      </w:r>
    </w:p>
    <w:p w:rsidR="00000000" w:rsidDel="00000000" w:rsidP="00000000" w:rsidRDefault="00000000" w:rsidRPr="00000000" w14:paraId="0000001E">
      <w:pPr>
        <w:numPr>
          <w:ilvl w:val="0"/>
          <w:numId w:val="1"/>
        </w:numPr>
        <w:ind w:left="720" w:hanging="360"/>
        <w:rPr/>
      </w:pPr>
      <w:r w:rsidDel="00000000" w:rsidR="00000000" w:rsidRPr="00000000">
        <w:rPr>
          <w:rtl w:val="0"/>
        </w:rPr>
        <w:t xml:space="preserve">Do you support allowing the CSLR operator to reduce compensation payments by considering all relevant amounts that a claimant may receive in connection with the matters covered by an AFCA determination?</w:t>
      </w:r>
    </w:p>
    <w:p w:rsidR="00000000" w:rsidDel="00000000" w:rsidP="00000000" w:rsidRDefault="00000000" w:rsidRPr="00000000" w14:paraId="0000001F">
      <w:pPr>
        <w:numPr>
          <w:ilvl w:val="0"/>
          <w:numId w:val="1"/>
        </w:numPr>
        <w:ind w:left="720" w:hanging="360"/>
        <w:rPr/>
      </w:pPr>
      <w:r w:rsidDel="00000000" w:rsidR="00000000" w:rsidRPr="00000000">
        <w:rPr>
          <w:rtl w:val="0"/>
        </w:rPr>
        <w:t xml:space="preserve">What factors should the Government consider in terms of timing? </w:t>
      </w:r>
    </w:p>
    <w:p w:rsidR="00000000" w:rsidDel="00000000" w:rsidP="00000000" w:rsidRDefault="00000000" w:rsidRPr="00000000" w14:paraId="00000020">
      <w:pPr>
        <w:numPr>
          <w:ilvl w:val="1"/>
          <w:numId w:val="1"/>
        </w:numPr>
        <w:ind w:left="1440" w:hanging="360"/>
        <w:rPr/>
      </w:pPr>
      <w:r w:rsidDel="00000000" w:rsidR="00000000" w:rsidRPr="00000000">
        <w:rPr>
          <w:rtl w:val="0"/>
        </w:rPr>
        <w:t xml:space="preserve">2.1. How should the reform balance ensuring timely payment of claims to consumers with ensuring accurate information about other payments?</w:t>
      </w:r>
    </w:p>
    <w:p w:rsidR="00000000" w:rsidDel="00000000" w:rsidP="00000000" w:rsidRDefault="00000000" w:rsidRPr="00000000" w14:paraId="00000021">
      <w:pPr>
        <w:numPr>
          <w:ilvl w:val="1"/>
          <w:numId w:val="1"/>
        </w:numPr>
        <w:ind w:left="1440" w:hanging="360"/>
        <w:rPr/>
      </w:pPr>
      <w:r w:rsidDel="00000000" w:rsidR="00000000" w:rsidRPr="00000000">
        <w:rPr>
          <w:rtl w:val="0"/>
        </w:rPr>
        <w:t xml:space="preserve">2.2. Should the CSLR have a clawback mechanism for cases where deductible amounts were not known at the time of payment?</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b w:val="1"/>
          <w:bCs w:val="1"/>
          <w:rtl w:val="0"/>
        </w:rPr>
        <w:t xml:space="preserve">Proposal 2: Expanding CSLR subrogation rights</w:t>
      </w:r>
      <w:r w:rsidDel="00000000" w:rsidR="00000000" w:rsidRPr="00000000">
        <w:rPr>
          <w:rtl w:val="0"/>
        </w:rPr>
      </w:r>
    </w:p>
    <w:p w:rsidR="00000000" w:rsidDel="00000000" w:rsidP="00000000" w:rsidRDefault="00000000" w:rsidRPr="00000000" w14:paraId="00000024">
      <w:pPr>
        <w:numPr>
          <w:ilvl w:val="0"/>
          <w:numId w:val="11"/>
        </w:numPr>
        <w:ind w:left="720" w:hanging="360"/>
        <w:rPr/>
      </w:pPr>
      <w:r w:rsidDel="00000000" w:rsidR="00000000" w:rsidRPr="00000000">
        <w:rPr>
          <w:rtl w:val="0"/>
        </w:rPr>
        <w:t xml:space="preserve">Do you support Option 1 or Option 2 to expand the CSLR operator's subrogation rights?</w:t>
      </w:r>
    </w:p>
    <w:p w:rsidR="00000000" w:rsidDel="00000000" w:rsidP="00000000" w:rsidRDefault="00000000" w:rsidRPr="00000000" w14:paraId="00000025">
      <w:pPr>
        <w:numPr>
          <w:ilvl w:val="0"/>
          <w:numId w:val="11"/>
        </w:numPr>
        <w:ind w:left="720" w:hanging="360"/>
        <w:rPr/>
      </w:pPr>
      <w:r w:rsidDel="00000000" w:rsidR="00000000" w:rsidRPr="00000000">
        <w:rPr>
          <w:rtl w:val="0"/>
        </w:rPr>
        <w:t xml:space="preserve">Are there sufficient benefits to pursuing legislative reforms in the context of limited recoveries?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b w:val="1"/>
          <w:bCs w:val="1"/>
          <w:rtl w:val="0"/>
        </w:rPr>
        <w:t xml:space="preserve">Proposal 3: Technical improvements</w:t>
      </w:r>
      <w:r w:rsidDel="00000000" w:rsidR="00000000" w:rsidRPr="00000000">
        <w:rPr>
          <w:rtl w:val="0"/>
        </w:rPr>
      </w:r>
    </w:p>
    <w:p w:rsidR="00000000" w:rsidDel="00000000" w:rsidP="00000000" w:rsidRDefault="00000000" w:rsidRPr="00000000" w14:paraId="00000028">
      <w:pPr>
        <w:numPr>
          <w:ilvl w:val="0"/>
          <w:numId w:val="14"/>
        </w:numPr>
        <w:ind w:left="720" w:hanging="360"/>
        <w:rPr/>
      </w:pPr>
      <w:r w:rsidDel="00000000" w:rsidR="00000000" w:rsidRPr="00000000">
        <w:rPr>
          <w:rtl w:val="0"/>
        </w:rPr>
        <w:t xml:space="preserve">Do you support the additional technical improvement proposals?</w:t>
      </w:r>
    </w:p>
    <w:p w:rsidR="00000000" w:rsidDel="00000000" w:rsidP="00000000" w:rsidRDefault="00000000" w:rsidRPr="00000000" w14:paraId="00000029">
      <w:pPr>
        <w:numPr>
          <w:ilvl w:val="0"/>
          <w:numId w:val="14"/>
        </w:numPr>
        <w:ind w:left="720" w:hanging="360"/>
        <w:rPr/>
      </w:pPr>
      <w:r w:rsidDel="00000000" w:rsidR="00000000" w:rsidRPr="00000000">
        <w:rPr>
          <w:rtl w:val="0"/>
        </w:rPr>
        <w:t xml:space="preserve">Which technical improvements should be prioritised?</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b w:val="1"/>
          <w:bCs w:val="1"/>
          <w:rtl w:val="0"/>
        </w:rPr>
        <w:t xml:space="preserve">Proposal 4: Revising the treatment of counterfactual loss for CSLR-eligible financial advice complaints</w:t>
      </w:r>
      <w:r w:rsidDel="00000000" w:rsidR="00000000" w:rsidRPr="00000000">
        <w:rPr>
          <w:rtl w:val="0"/>
        </w:rPr>
      </w:r>
    </w:p>
    <w:p w:rsidR="00000000" w:rsidDel="00000000" w:rsidP="00000000" w:rsidRDefault="00000000" w:rsidRPr="00000000" w14:paraId="0000002C">
      <w:pPr>
        <w:numPr>
          <w:ilvl w:val="0"/>
          <w:numId w:val="15"/>
        </w:numPr>
        <w:ind w:left="720" w:hanging="360"/>
        <w:rPr/>
      </w:pPr>
      <w:r w:rsidDel="00000000" w:rsidR="00000000" w:rsidRPr="00000000">
        <w:rPr>
          <w:rtl w:val="0"/>
        </w:rPr>
        <w:t xml:space="preserve">Do you support Option 1 or Option 2 to support scheme sustainability? </w:t>
      </w:r>
    </w:p>
    <w:p w:rsidR="00000000" w:rsidDel="00000000" w:rsidP="00000000" w:rsidRDefault="00000000" w:rsidRPr="00000000" w14:paraId="0000002D">
      <w:pPr>
        <w:numPr>
          <w:ilvl w:val="1"/>
          <w:numId w:val="15"/>
        </w:numPr>
        <w:ind w:left="1440" w:hanging="360"/>
        <w:rPr/>
      </w:pPr>
      <w:r w:rsidDel="00000000" w:rsidR="00000000" w:rsidRPr="00000000">
        <w:rPr>
          <w:rtl w:val="0"/>
        </w:rPr>
        <w:t xml:space="preserve">1.1. If not, are there alternative options that would better balance certainty, fairness and sustainability?</w:t>
      </w:r>
    </w:p>
    <w:p w:rsidR="00000000" w:rsidDel="00000000" w:rsidP="00000000" w:rsidRDefault="00000000" w:rsidRPr="00000000" w14:paraId="0000002E">
      <w:pPr>
        <w:numPr>
          <w:ilvl w:val="0"/>
          <w:numId w:val="15"/>
        </w:numPr>
        <w:ind w:left="720" w:hanging="360"/>
        <w:rPr/>
      </w:pPr>
      <w:r w:rsidDel="00000000" w:rsidR="00000000" w:rsidRPr="00000000">
        <w:rPr>
          <w:rtl w:val="0"/>
        </w:rPr>
        <w:t xml:space="preserve">What considerations should the Government have for choosing an implementation pathway (fairness, time to implement, cost saving)?</w:t>
      </w:r>
    </w:p>
    <w:p w:rsidR="00000000" w:rsidDel="00000000" w:rsidP="00000000" w:rsidRDefault="00000000" w:rsidRPr="00000000" w14:paraId="0000002F">
      <w:pPr>
        <w:numPr>
          <w:ilvl w:val="0"/>
          <w:numId w:val="15"/>
        </w:numPr>
        <w:ind w:left="720" w:hanging="360"/>
        <w:rPr/>
      </w:pPr>
      <w:r w:rsidDel="00000000" w:rsidR="00000000" w:rsidRPr="00000000">
        <w:rPr>
          <w:rtl w:val="0"/>
        </w:rPr>
        <w:t xml:space="preserve">Is CPI or Government Bond rate a more appropriate basis for calculating the counterfactual position? </w:t>
      </w:r>
    </w:p>
    <w:p w:rsidR="00000000" w:rsidDel="00000000" w:rsidP="00000000" w:rsidRDefault="00000000" w:rsidRPr="00000000" w14:paraId="00000030">
      <w:pPr>
        <w:numPr>
          <w:ilvl w:val="1"/>
          <w:numId w:val="15"/>
        </w:numPr>
        <w:ind w:left="1440" w:hanging="360"/>
        <w:rPr/>
      </w:pPr>
      <w:r w:rsidDel="00000000" w:rsidR="00000000" w:rsidRPr="00000000">
        <w:rPr>
          <w:rtl w:val="0"/>
        </w:rPr>
        <w:t xml:space="preserve">3.1. What alternative rate could be used?</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b w:val="1"/>
          <w:bCs w:val="1"/>
          <w:rtl w:val="0"/>
        </w:rPr>
        <w:t xml:space="preserve">Proposal 5: Embedding greater certainty in the special levy framework</w:t>
      </w:r>
      <w:r w:rsidDel="00000000" w:rsidR="00000000" w:rsidRPr="00000000">
        <w:rPr>
          <w:rtl w:val="0"/>
        </w:rPr>
      </w:r>
    </w:p>
    <w:p w:rsidR="00000000" w:rsidDel="00000000" w:rsidP="00000000" w:rsidRDefault="00000000" w:rsidRPr="00000000" w14:paraId="00000033">
      <w:pPr>
        <w:numPr>
          <w:ilvl w:val="0"/>
          <w:numId w:val="16"/>
        </w:numPr>
        <w:ind w:left="720" w:hanging="360"/>
        <w:rPr/>
      </w:pPr>
      <w:r w:rsidDel="00000000" w:rsidR="00000000" w:rsidRPr="00000000">
        <w:rPr>
          <w:rtl w:val="0"/>
        </w:rPr>
        <w:t xml:space="preserve">Do you support introducing a rules-based three-tier special levy waterfall to manage funding shortfalls when scheme costs exceed one or more sub-sector caps? Are there alternative tier structures that would better balance certainty, fairness and sustainability?</w:t>
      </w:r>
    </w:p>
    <w:p w:rsidR="00000000" w:rsidDel="00000000" w:rsidP="00000000" w:rsidRDefault="00000000" w:rsidRPr="00000000" w14:paraId="00000034">
      <w:pPr>
        <w:numPr>
          <w:ilvl w:val="0"/>
          <w:numId w:val="16"/>
        </w:numPr>
        <w:ind w:left="720" w:hanging="360"/>
        <w:rPr/>
      </w:pPr>
      <w:r w:rsidDel="00000000" w:rsidR="00000000" w:rsidRPr="00000000">
        <w:rPr>
          <w:rtl w:val="0"/>
        </w:rPr>
        <w:t xml:space="preserve">Is 'connection' an appropriate basis for allocating costs across tiers in a repeatable framework? </w:t>
      </w:r>
    </w:p>
    <w:p w:rsidR="00000000" w:rsidDel="00000000" w:rsidP="00000000" w:rsidRDefault="00000000" w:rsidRPr="00000000" w14:paraId="00000035">
      <w:pPr>
        <w:numPr>
          <w:ilvl w:val="1"/>
          <w:numId w:val="16"/>
        </w:numPr>
        <w:ind w:left="1440" w:hanging="360"/>
        <w:rPr/>
      </w:pPr>
      <w:r w:rsidDel="00000000" w:rsidR="00000000" w:rsidRPr="00000000">
        <w:rPr>
          <w:rtl w:val="0"/>
        </w:rPr>
        <w:t xml:space="preserve">2.1. If not, what alternative approach should be used, and how could it be implemented effectively in a way that is sustainable and facilitates timely payments of compensation to consumers?</w:t>
      </w:r>
    </w:p>
    <w:p w:rsidR="00000000" w:rsidDel="00000000" w:rsidP="00000000" w:rsidRDefault="00000000" w:rsidRPr="00000000" w14:paraId="00000036">
      <w:pPr>
        <w:numPr>
          <w:ilvl w:val="1"/>
          <w:numId w:val="16"/>
        </w:numPr>
        <w:ind w:left="1440" w:hanging="360"/>
        <w:rPr/>
      </w:pPr>
      <w:r w:rsidDel="00000000" w:rsidR="00000000" w:rsidRPr="00000000">
        <w:rPr>
          <w:rtl w:val="0"/>
        </w:rPr>
        <w:t xml:space="preserve">2.2. How should 'connected' sub-sector/s be identified in practice?</w:t>
      </w:r>
    </w:p>
    <w:p w:rsidR="00000000" w:rsidDel="00000000" w:rsidP="00000000" w:rsidRDefault="00000000" w:rsidRPr="00000000" w14:paraId="00000037">
      <w:pPr>
        <w:numPr>
          <w:ilvl w:val="0"/>
          <w:numId w:val="16"/>
        </w:numPr>
        <w:ind w:left="720" w:hanging="360"/>
        <w:rPr/>
      </w:pPr>
      <w:r w:rsidDel="00000000" w:rsidR="00000000" w:rsidRPr="00000000">
        <w:rPr>
          <w:rtl w:val="0"/>
        </w:rPr>
        <w:t xml:space="preserve">What evidence or data should be used to establish 'connection' to the losses (recognising the challenges of attributing fault across a value chain)? </w:t>
      </w:r>
    </w:p>
    <w:p w:rsidR="00000000" w:rsidDel="00000000" w:rsidP="00000000" w:rsidRDefault="00000000" w:rsidRPr="00000000" w14:paraId="00000038">
      <w:pPr>
        <w:numPr>
          <w:ilvl w:val="1"/>
          <w:numId w:val="16"/>
        </w:numPr>
        <w:ind w:left="1440" w:hanging="360"/>
        <w:rPr/>
      </w:pPr>
      <w:r w:rsidDel="00000000" w:rsidR="00000000" w:rsidRPr="00000000">
        <w:rPr>
          <w:rtl w:val="0"/>
        </w:rPr>
        <w:t xml:space="preserve">3.1. What governance or assurance steps would improve confidence in the classification of a sub-sector as 'connected'?</w:t>
      </w:r>
    </w:p>
    <w:p w:rsidR="00000000" w:rsidDel="00000000" w:rsidP="00000000" w:rsidRDefault="00000000" w:rsidRPr="00000000" w14:paraId="00000039">
      <w:pPr>
        <w:numPr>
          <w:ilvl w:val="0"/>
          <w:numId w:val="16"/>
        </w:numPr>
        <w:ind w:left="720" w:hanging="360"/>
        <w:rPr/>
      </w:pPr>
      <w:r w:rsidDel="00000000" w:rsidR="00000000" w:rsidRPr="00000000">
        <w:rPr>
          <w:rtl w:val="0"/>
        </w:rPr>
        <w:t xml:space="preserve">Are the proposed special levy caps appropriately calibrated to provide certainty and support sub-sector viability, while enabling timely compensation payments? </w:t>
      </w:r>
    </w:p>
    <w:p w:rsidR="00000000" w:rsidDel="00000000" w:rsidP="00000000" w:rsidRDefault="00000000" w:rsidRPr="00000000" w14:paraId="0000003A">
      <w:pPr>
        <w:numPr>
          <w:ilvl w:val="1"/>
          <w:numId w:val="16"/>
        </w:numPr>
        <w:ind w:left="1440" w:hanging="360"/>
        <w:rPr/>
      </w:pPr>
      <w:r w:rsidDel="00000000" w:rsidR="00000000" w:rsidRPr="00000000">
        <w:rPr>
          <w:rtl w:val="0"/>
        </w:rPr>
        <w:t xml:space="preserve">4.1. If not, at what level should special levy caps be set for each tier, and how do they produce a better overall outcome for the financial system?</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b w:val="1"/>
          <w:bCs w:val="1"/>
          <w:rtl w:val="0"/>
        </w:rPr>
        <w:t xml:space="preserve">Proposal 6: Considering responses to the role of SMSF losses in pressure on the CSLR</w:t>
      </w:r>
      <w:r w:rsidDel="00000000" w:rsidR="00000000" w:rsidRPr="00000000">
        <w:rPr>
          <w:rtl w:val="0"/>
        </w:rPr>
      </w:r>
    </w:p>
    <w:p w:rsidR="00000000" w:rsidDel="00000000" w:rsidP="00000000" w:rsidRDefault="00000000" w:rsidRPr="00000000" w14:paraId="0000003D">
      <w:pPr>
        <w:numPr>
          <w:ilvl w:val="0"/>
          <w:numId w:val="17"/>
        </w:numPr>
        <w:ind w:left="720" w:hanging="360"/>
        <w:rPr/>
      </w:pPr>
      <w:r w:rsidDel="00000000" w:rsidR="00000000" w:rsidRPr="00000000">
        <w:rPr>
          <w:rtl w:val="0"/>
        </w:rPr>
        <w:t xml:space="preserve">Do you see merit in levying a subset of SMSFs to support CSLR special levy funding pressures?</w:t>
      </w:r>
    </w:p>
    <w:p w:rsidR="00000000" w:rsidDel="00000000" w:rsidP="00000000" w:rsidRDefault="00000000" w:rsidRPr="00000000" w14:paraId="0000003E">
      <w:pPr>
        <w:numPr>
          <w:ilvl w:val="0"/>
          <w:numId w:val="17"/>
        </w:numPr>
        <w:ind w:left="720" w:hanging="360"/>
        <w:rPr/>
      </w:pPr>
      <w:r w:rsidDel="00000000" w:rsidR="00000000" w:rsidRPr="00000000">
        <w:rPr>
          <w:rtl w:val="0"/>
        </w:rPr>
        <w:t xml:space="preserve">Which option (opt-in or opt-out) best balances the need for scheme sustainability with the risk of imposing costs onto SMSFs with no relevant connection to advice-related misconduct? Or is there an alternate option that would best balance these factors? </w:t>
      </w:r>
    </w:p>
    <w:p w:rsidR="00000000" w:rsidDel="00000000" w:rsidP="00000000" w:rsidRDefault="00000000" w:rsidRPr="00000000" w14:paraId="0000003F">
      <w:pPr>
        <w:numPr>
          <w:ilvl w:val="1"/>
          <w:numId w:val="17"/>
        </w:numPr>
        <w:ind w:left="1440" w:hanging="360"/>
        <w:rPr/>
      </w:pPr>
      <w:r w:rsidDel="00000000" w:rsidR="00000000" w:rsidRPr="00000000">
        <w:rPr>
          <w:rtl w:val="0"/>
        </w:rPr>
        <w:t xml:space="preserve">2.1. What factors should be considered for an opt-in or opt-out model to minimise the regulatory burden for SMSFs?</w:t>
      </w:r>
    </w:p>
    <w:p w:rsidR="00000000" w:rsidDel="00000000" w:rsidP="00000000" w:rsidRDefault="00000000" w:rsidRPr="00000000" w14:paraId="00000040">
      <w:pPr>
        <w:rPr/>
      </w:pPr>
      <w:r w:rsidDel="00000000" w:rsidR="00000000" w:rsidRPr="00000000">
        <w:rPr>
          <w:i w:val="1"/>
          <w:iCs w:val="1"/>
          <w:rtl w:val="0"/>
        </w:rPr>
        <w:t xml:space="preserve">Option 1 — Opt-out mechanism:</w:t>
      </w:r>
      <w:r w:rsidDel="00000000" w:rsidR="00000000" w:rsidRPr="00000000">
        <w:rPr>
          <w:rtl w:val="0"/>
        </w:rPr>
      </w:r>
    </w:p>
    <w:p w:rsidR="00000000" w:rsidDel="00000000" w:rsidP="00000000" w:rsidRDefault="00000000" w:rsidRPr="00000000" w14:paraId="00000041">
      <w:pPr>
        <w:numPr>
          <w:ilvl w:val="0"/>
          <w:numId w:val="18"/>
        </w:numPr>
        <w:ind w:left="720" w:hanging="360"/>
        <w:rPr/>
      </w:pPr>
      <w:r w:rsidDel="00000000" w:rsidR="00000000" w:rsidRPr="00000000">
        <w:rPr>
          <w:rtl w:val="0"/>
        </w:rPr>
        <w:t xml:space="preserve">Would allowing SMSFs to opt-out from the levy and CSLR compensation eligibility be an appropriate means to target the levy? What benefits and risks might this approach entail?</w:t>
      </w:r>
    </w:p>
    <w:p w:rsidR="00000000" w:rsidDel="00000000" w:rsidP="00000000" w:rsidRDefault="00000000" w:rsidRPr="00000000" w14:paraId="00000042">
      <w:pPr>
        <w:numPr>
          <w:ilvl w:val="0"/>
          <w:numId w:val="18"/>
        </w:numPr>
        <w:ind w:left="720" w:hanging="360"/>
        <w:rPr/>
      </w:pPr>
      <w:r w:rsidDel="00000000" w:rsidR="00000000" w:rsidRPr="00000000">
        <w:rPr>
          <w:rtl w:val="0"/>
        </w:rPr>
        <w:t xml:space="preserve">When should an SMSF be required to opt-out or begin paying?</w:t>
      </w:r>
    </w:p>
    <w:p w:rsidR="00000000" w:rsidDel="00000000" w:rsidP="00000000" w:rsidRDefault="00000000" w:rsidRPr="00000000" w14:paraId="00000043">
      <w:pPr>
        <w:numPr>
          <w:ilvl w:val="0"/>
          <w:numId w:val="18"/>
        </w:numPr>
        <w:ind w:left="720" w:hanging="360"/>
        <w:rPr/>
      </w:pPr>
      <w:r w:rsidDel="00000000" w:rsidR="00000000" w:rsidRPr="00000000">
        <w:rPr>
          <w:rtl w:val="0"/>
        </w:rPr>
        <w:t xml:space="preserve">Should an SMSF be able to revoke their decision?</w:t>
      </w:r>
    </w:p>
    <w:p w:rsidR="00000000" w:rsidDel="00000000" w:rsidP="00000000" w:rsidRDefault="00000000" w:rsidRPr="00000000" w14:paraId="00000044">
      <w:pPr>
        <w:rPr/>
      </w:pPr>
      <w:r w:rsidDel="00000000" w:rsidR="00000000" w:rsidRPr="00000000">
        <w:rPr>
          <w:i w:val="1"/>
          <w:iCs w:val="1"/>
          <w:rtl w:val="0"/>
        </w:rPr>
        <w:t xml:space="preserve">Option 1 — Opt-in mechanism:</w:t>
      </w:r>
      <w:r w:rsidDel="00000000" w:rsidR="00000000" w:rsidRPr="00000000">
        <w:rPr>
          <w:rtl w:val="0"/>
        </w:rPr>
      </w:r>
    </w:p>
    <w:p w:rsidR="00000000" w:rsidDel="00000000" w:rsidP="00000000" w:rsidRDefault="00000000" w:rsidRPr="00000000" w14:paraId="00000045">
      <w:pPr>
        <w:numPr>
          <w:ilvl w:val="0"/>
          <w:numId w:val="19"/>
        </w:numPr>
        <w:ind w:left="720" w:hanging="360"/>
        <w:rPr/>
      </w:pPr>
      <w:r w:rsidDel="00000000" w:rsidR="00000000" w:rsidRPr="00000000">
        <w:rPr>
          <w:rtl w:val="0"/>
        </w:rPr>
        <w:t xml:space="preserve">Would allowing SMSFs to opt-in to the levy in order to maintain CSLR compensation eligibility be an appropriate means to target the levy? What benefits and risks might this approach entail?</w:t>
      </w:r>
    </w:p>
    <w:p w:rsidR="00000000" w:rsidDel="00000000" w:rsidP="00000000" w:rsidRDefault="00000000" w:rsidRPr="00000000" w14:paraId="00000046">
      <w:pPr>
        <w:numPr>
          <w:ilvl w:val="0"/>
          <w:numId w:val="19"/>
        </w:numPr>
        <w:ind w:left="720" w:hanging="360"/>
        <w:rPr/>
      </w:pPr>
      <w:r w:rsidDel="00000000" w:rsidR="00000000" w:rsidRPr="00000000">
        <w:rPr>
          <w:rtl w:val="0"/>
        </w:rPr>
        <w:t xml:space="preserve">When should an SMSF be required to opt-in?</w:t>
      </w:r>
    </w:p>
    <w:p w:rsidR="00000000" w:rsidDel="00000000" w:rsidP="00000000" w:rsidRDefault="00000000" w:rsidRPr="00000000" w14:paraId="00000047">
      <w:pPr>
        <w:numPr>
          <w:ilvl w:val="0"/>
          <w:numId w:val="19"/>
        </w:numPr>
        <w:ind w:left="720" w:hanging="360"/>
        <w:rPr/>
      </w:pPr>
      <w:r w:rsidDel="00000000" w:rsidR="00000000" w:rsidRPr="00000000">
        <w:rPr>
          <w:rtl w:val="0"/>
        </w:rPr>
        <w:t xml:space="preserve">Should the timing of opting in impact their eligibility for a claim from the CSLR?</w:t>
      </w:r>
    </w:p>
    <w:p w:rsidR="00000000" w:rsidDel="00000000" w:rsidP="00000000" w:rsidRDefault="00000000" w:rsidRPr="00000000" w14:paraId="00000048">
      <w:pPr>
        <w:numPr>
          <w:ilvl w:val="0"/>
          <w:numId w:val="19"/>
        </w:numPr>
        <w:ind w:left="720" w:hanging="360"/>
        <w:rPr/>
      </w:pPr>
      <w:r w:rsidDel="00000000" w:rsidR="00000000" w:rsidRPr="00000000">
        <w:rPr>
          <w:rtl w:val="0"/>
        </w:rPr>
        <w:t xml:space="preserve">If SMSFs were included within the CSLR Special Levy Framework, what do you see as a reasonable and sustainable maximum annual levy per SMSF?</w:t>
      </w:r>
    </w:p>
    <w:p w:rsidR="00000000" w:rsidDel="00000000" w:rsidP="00000000" w:rsidRDefault="00000000" w:rsidRPr="00000000" w14:paraId="00000049">
      <w:pPr>
        <w:rPr/>
      </w:pPr>
      <w:r w:rsidDel="00000000" w:rsidR="00000000" w:rsidRPr="00000000">
        <w:rPr>
          <w:i w:val="1"/>
          <w:iCs w:val="1"/>
          <w:rtl w:val="0"/>
        </w:rPr>
        <w:t xml:space="preserve">Option 2:</w:t>
      </w:r>
      <w:r w:rsidDel="00000000" w:rsidR="00000000" w:rsidRPr="00000000">
        <w:rPr>
          <w:rtl w:val="0"/>
        </w:rPr>
      </w:r>
    </w:p>
    <w:p w:rsidR="00000000" w:rsidDel="00000000" w:rsidP="00000000" w:rsidRDefault="00000000" w:rsidRPr="00000000" w14:paraId="0000004A">
      <w:pPr>
        <w:numPr>
          <w:ilvl w:val="0"/>
          <w:numId w:val="20"/>
        </w:numPr>
        <w:ind w:left="720" w:hanging="360"/>
        <w:rPr/>
      </w:pPr>
      <w:r w:rsidDel="00000000" w:rsidR="00000000" w:rsidRPr="00000000">
        <w:rPr>
          <w:rtl w:val="0"/>
        </w:rPr>
        <w:t xml:space="preserve">Excluding SMSFs from CSLR eligibility may help to alleviate funding pressures on the scheme. How do you think this option compares to the sub-options in Option 1 above in terms of scheme sustainability and risks for the SMSFs?</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b w:val="1"/>
          <w:bCs w:val="1"/>
          <w:rtl w:val="0"/>
        </w:rPr>
        <w:t xml:space="preserve">Proposal 7: Facilitating levying of Managed Investment Scheme (MIS)-related losses</w:t>
      </w:r>
      <w:r w:rsidDel="00000000" w:rsidR="00000000" w:rsidRPr="00000000">
        <w:rPr>
          <w:rtl w:val="0"/>
        </w:rPr>
      </w:r>
    </w:p>
    <w:p w:rsidR="00000000" w:rsidDel="00000000" w:rsidP="00000000" w:rsidRDefault="00000000" w:rsidRPr="00000000" w14:paraId="0000004D">
      <w:pPr>
        <w:numPr>
          <w:ilvl w:val="0"/>
          <w:numId w:val="2"/>
        </w:numPr>
        <w:ind w:left="720" w:hanging="360"/>
        <w:rPr/>
      </w:pPr>
      <w:r w:rsidDel="00000000" w:rsidR="00000000" w:rsidRPr="00000000">
        <w:rPr>
          <w:rtl w:val="0"/>
        </w:rPr>
        <w:t xml:space="preserve">If Proposal 5 were implemented, should the Government identify a 'lower-risk' segment of the MIS sector that would not be subject to the special levy? </w:t>
      </w:r>
    </w:p>
    <w:p w:rsidR="00000000" w:rsidDel="00000000" w:rsidP="00000000" w:rsidRDefault="00000000" w:rsidRPr="00000000" w14:paraId="0000004E">
      <w:pPr>
        <w:numPr>
          <w:ilvl w:val="1"/>
          <w:numId w:val="2"/>
        </w:numPr>
        <w:ind w:left="1440" w:hanging="360"/>
        <w:rPr/>
      </w:pPr>
      <w:r w:rsidDel="00000000" w:rsidR="00000000" w:rsidRPr="00000000">
        <w:rPr>
          <w:rtl w:val="0"/>
        </w:rPr>
        <w:t xml:space="preserve">1.1. If so, what indicators do you consider should be used to identify a MIS as low risk?</w:t>
      </w:r>
    </w:p>
    <w:p w:rsidR="00000000" w:rsidDel="00000000" w:rsidP="00000000" w:rsidRDefault="00000000" w:rsidRPr="00000000" w14:paraId="0000004F">
      <w:pPr>
        <w:numPr>
          <w:ilvl w:val="1"/>
          <w:numId w:val="2"/>
        </w:numPr>
        <w:ind w:left="1440" w:hanging="360"/>
        <w:rPr/>
      </w:pPr>
      <w:r w:rsidDel="00000000" w:rsidR="00000000" w:rsidRPr="00000000">
        <w:rPr>
          <w:rtl w:val="0"/>
        </w:rPr>
        <w:t xml:space="preserve">1.2. If additional data were required to be collected to implement risk-informed levying, would this option create any additional regulatory burden for the MIS sector?</w:t>
      </w:r>
    </w:p>
    <w:p w:rsidR="00000000" w:rsidDel="00000000" w:rsidP="00000000" w:rsidRDefault="00000000" w:rsidRPr="00000000" w14:paraId="00000050">
      <w:pPr>
        <w:numPr>
          <w:ilvl w:val="0"/>
          <w:numId w:val="2"/>
        </w:numPr>
        <w:ind w:left="720" w:hanging="360"/>
        <w:rPr/>
      </w:pPr>
      <w:r w:rsidDel="00000000" w:rsidR="00000000" w:rsidRPr="00000000">
        <w:rPr>
          <w:rtl w:val="0"/>
        </w:rPr>
        <w:t xml:space="preserve">What do you consider the consequences would be of excluding low-risk MISs from the special levy?</w:t>
      </w:r>
    </w:p>
    <w:p w:rsidR="00000000" w:rsidDel="00000000" w:rsidP="00000000" w:rsidRDefault="00000000" w:rsidRPr="00000000" w14:paraId="00000051">
      <w:pPr>
        <w:numPr>
          <w:ilvl w:val="0"/>
          <w:numId w:val="2"/>
        </w:numPr>
        <w:ind w:left="720" w:hanging="360"/>
        <w:rPr/>
      </w:pPr>
      <w:r w:rsidDel="00000000" w:rsidR="00000000" w:rsidRPr="00000000">
        <w:rPr>
          <w:rtl w:val="0"/>
        </w:rPr>
        <w:t xml:space="preserve">How should the Government weigh the trade-off between minimising administrative costs with the benefits of a more targeted approach?</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b w:val="1"/>
          <w:bCs w:val="1"/>
          <w:rtl w:val="0"/>
        </w:rPr>
        <w:t xml:space="preserve">Proposal 8: Improving recovery of unpaid AFCA determinations within corporate groups</w:t>
      </w:r>
      <w:r w:rsidDel="00000000" w:rsidR="00000000" w:rsidRPr="00000000">
        <w:rPr>
          <w:rtl w:val="0"/>
        </w:rPr>
      </w:r>
    </w:p>
    <w:p w:rsidR="00000000" w:rsidDel="00000000" w:rsidP="00000000" w:rsidRDefault="00000000" w:rsidRPr="00000000" w14:paraId="00000054">
      <w:pPr>
        <w:numPr>
          <w:ilvl w:val="0"/>
          <w:numId w:val="3"/>
        </w:numPr>
        <w:ind w:left="720" w:hanging="360"/>
        <w:rPr/>
      </w:pPr>
      <w:r w:rsidDel="00000000" w:rsidR="00000000" w:rsidRPr="00000000">
        <w:rPr>
          <w:rtl w:val="0"/>
        </w:rPr>
        <w:t xml:space="preserve">To what extent are AFCA determination liabilities avoided through misuse of corporate and insolvency frameworks, shifting CSLR costs onto the broader sub-sector? </w:t>
      </w:r>
    </w:p>
    <w:p w:rsidR="00000000" w:rsidDel="00000000" w:rsidP="00000000" w:rsidRDefault="00000000" w:rsidRPr="00000000" w14:paraId="00000055">
      <w:pPr>
        <w:numPr>
          <w:ilvl w:val="1"/>
          <w:numId w:val="3"/>
        </w:numPr>
        <w:ind w:left="1440" w:hanging="360"/>
        <w:rPr/>
      </w:pPr>
      <w:r w:rsidDel="00000000" w:rsidR="00000000" w:rsidRPr="00000000">
        <w:rPr>
          <w:rtl w:val="0"/>
        </w:rPr>
        <w:t xml:space="preserve">1.1. To what extent does this include transactions between solvent entities? Do transactions which result in the evasion of these liabilities also occur between unrelated entities?</w:t>
      </w:r>
    </w:p>
    <w:p w:rsidR="00000000" w:rsidDel="00000000" w:rsidP="00000000" w:rsidRDefault="00000000" w:rsidRPr="00000000" w14:paraId="00000056">
      <w:pPr>
        <w:numPr>
          <w:ilvl w:val="0"/>
          <w:numId w:val="3"/>
        </w:numPr>
        <w:ind w:left="720" w:hanging="360"/>
        <w:rPr/>
      </w:pPr>
      <w:r w:rsidDel="00000000" w:rsidR="00000000" w:rsidRPr="00000000">
        <w:rPr>
          <w:rtl w:val="0"/>
        </w:rPr>
        <w:t xml:space="preserve">Are there any gaps or limitations in the current corporate and insolvency frameworks that may allow assets or value to be shifted away from the respondent firm? How might the existing provisions be enhanced to increase their deterrent effect to help prevent the occurrence of the underlying transactions and conduct?</w:t>
      </w:r>
    </w:p>
    <w:p w:rsidR="00000000" w:rsidDel="00000000" w:rsidP="00000000" w:rsidRDefault="00000000" w:rsidRPr="00000000" w14:paraId="00000057">
      <w:pPr>
        <w:numPr>
          <w:ilvl w:val="0"/>
          <w:numId w:val="3"/>
        </w:numPr>
        <w:ind w:left="720" w:hanging="360"/>
        <w:rPr/>
      </w:pPr>
      <w:r w:rsidDel="00000000" w:rsidR="00000000" w:rsidRPr="00000000">
        <w:rPr>
          <w:rtl w:val="0"/>
        </w:rPr>
        <w:t xml:space="preserve">If a new related-entity liability mechanism was established (Option 2), how should it be designed to appropriately share responsibility for AFCA liabilities where related entities are benefiting from the respondent firm's business or activities, while ensuring it remains proportionate, builds in appropriate safeguards and preserves long-standing corporate principles?</w:t>
      </w:r>
    </w:p>
    <w:p w:rsidR="00000000" w:rsidDel="00000000" w:rsidP="00000000" w:rsidRDefault="00000000" w:rsidRPr="00000000" w14:paraId="00000058">
      <w:pPr>
        <w:rPr/>
      </w:pPr>
      <w:r w:rsidDel="00000000" w:rsidR="00000000" w:rsidRPr="00000000">
        <w:br w:type="page"/>
      </w:r>
      <w:r w:rsidDel="00000000" w:rsidR="00000000" w:rsidRPr="00000000">
        <w:rPr>
          <w:rtl w:val="0"/>
        </w:rPr>
      </w:r>
    </w:p>
    <w:p w:rsidR="00000000" w:rsidDel="00000000" w:rsidP="00000000" w:rsidRDefault="00000000" w:rsidRPr="00000000" w14:paraId="00000059">
      <w:pPr>
        <w:pStyle w:val="Heading1"/>
        <w:rPr/>
      </w:pPr>
      <w:bookmarkStart w:colFirst="0" w:colLast="0" w:name="_heading=h.39mov18wsdi7" w:id="2"/>
      <w:bookmarkEnd w:id="2"/>
      <w:r w:rsidDel="00000000" w:rsidR="00000000" w:rsidRPr="00000000">
        <w:rPr>
          <w:rtl w:val="0"/>
        </w:rPr>
        <w:t xml:space="preserve">Firestarter</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spacing w:after="0" w:line="240" w:lineRule="auto"/>
        <w:rPr/>
      </w:pPr>
      <w:r w:rsidDel="00000000" w:rsidR="00000000" w:rsidRPr="00000000">
        <w:rPr>
          <w:rtl w:val="0"/>
        </w:rPr>
        <w:t xml:space="preserve">Your name </w:t>
      </w:r>
    </w:p>
    <w:p w:rsidR="00000000" w:rsidDel="00000000" w:rsidP="00000000" w:rsidRDefault="00000000" w:rsidRPr="00000000" w14:paraId="0000005C">
      <w:pPr>
        <w:spacing w:after="0" w:line="240" w:lineRule="auto"/>
        <w:rPr/>
      </w:pPr>
      <w:r w:rsidDel="00000000" w:rsidR="00000000" w:rsidRPr="00000000">
        <w:rPr>
          <w:rtl w:val="0"/>
        </w:rPr>
        <w:t xml:space="preserve">Role</w:t>
      </w:r>
    </w:p>
    <w:p w:rsidR="00000000" w:rsidDel="00000000" w:rsidP="00000000" w:rsidRDefault="00000000" w:rsidRPr="00000000" w14:paraId="0000005D">
      <w:pPr>
        <w:spacing w:after="0" w:line="240" w:lineRule="auto"/>
        <w:rPr/>
      </w:pPr>
      <w:r w:rsidDel="00000000" w:rsidR="00000000" w:rsidRPr="00000000">
        <w:rPr>
          <w:rtl w:val="0"/>
        </w:rPr>
        <w:t xml:space="preserve">Company</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12</w:t>
      </w:r>
      <w:r w:rsidDel="00000000" w:rsidR="00000000" w:rsidRPr="00000000">
        <w:rPr>
          <w:vertAlign w:val="superscript"/>
          <w:rtl w:val="0"/>
        </w:rPr>
        <w:t xml:space="preserve">th</w:t>
      </w:r>
      <w:r w:rsidDel="00000000" w:rsidR="00000000" w:rsidRPr="00000000">
        <w:rPr>
          <w:rtl w:val="0"/>
        </w:rPr>
        <w:t xml:space="preserve"> May 2026  </w:t>
      </w:r>
    </w:p>
    <w:p w:rsidR="00000000" w:rsidDel="00000000" w:rsidP="00000000" w:rsidRDefault="00000000" w:rsidRPr="00000000" w14:paraId="00000060">
      <w:pPr>
        <w:rPr>
          <w:b w:val="1"/>
          <w:bCs w:val="1"/>
        </w:rPr>
      </w:pPr>
      <w:r w:rsidDel="00000000" w:rsidR="00000000" w:rsidRPr="00000000">
        <w:rPr>
          <w:rtl w:val="0"/>
        </w:rPr>
      </w:r>
    </w:p>
    <w:p w:rsidR="00000000" w:rsidDel="00000000" w:rsidP="00000000" w:rsidRDefault="00000000" w:rsidRPr="00000000" w14:paraId="00000061">
      <w:pPr>
        <w:rPr>
          <w:b w:val="1"/>
          <w:bCs w:val="1"/>
        </w:rPr>
      </w:pPr>
      <w:r w:rsidDel="00000000" w:rsidR="00000000" w:rsidRPr="00000000">
        <w:rPr>
          <w:b w:val="1"/>
          <w:bCs w:val="1"/>
          <w:rtl w:val="0"/>
        </w:rPr>
        <w:t xml:space="preserve">The Treasury  </w:t>
      </w:r>
    </w:p>
    <w:p w:rsidR="00000000" w:rsidDel="00000000" w:rsidP="00000000" w:rsidRDefault="00000000" w:rsidRPr="00000000" w14:paraId="00000062">
      <w:pPr>
        <w:rPr/>
      </w:pPr>
      <w:r w:rsidDel="00000000" w:rsidR="00000000" w:rsidRPr="00000000">
        <w:rPr>
          <w:rtl w:val="0"/>
        </w:rPr>
        <w:t xml:space="preserve">Via email to: CSLR@Treasury.gov.au  </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Dear Treasury,  </w:t>
      </w:r>
    </w:p>
    <w:p w:rsidR="00000000" w:rsidDel="00000000" w:rsidP="00000000" w:rsidRDefault="00000000" w:rsidRPr="00000000" w14:paraId="00000065">
      <w:pPr>
        <w:rPr>
          <w:b w:val="1"/>
          <w:bCs w:val="1"/>
        </w:rPr>
      </w:pPr>
      <w:r w:rsidDel="00000000" w:rsidR="00000000" w:rsidRPr="00000000">
        <w:rPr>
          <w:b w:val="1"/>
          <w:bCs w:val="1"/>
          <w:rtl w:val="0"/>
        </w:rPr>
        <w:t xml:space="preserve">Consultation – Compensation Scheme of Last Resort (CSLR): Reform options to support ongoing sustainability</w:t>
      </w:r>
    </w:p>
    <w:p w:rsidR="00000000" w:rsidDel="00000000" w:rsidP="00000000" w:rsidRDefault="00000000" w:rsidRPr="00000000" w14:paraId="00000066">
      <w:pPr>
        <w:rPr>
          <w:i w:val="1"/>
          <w:iCs w:val="1"/>
          <w:color w:val="ee0000"/>
        </w:rPr>
      </w:pPr>
      <w:r w:rsidDel="00000000" w:rsidR="00000000" w:rsidRPr="00000000">
        <w:rPr>
          <w:i w:val="1"/>
          <w:iCs w:val="1"/>
          <w:color w:val="ee0000"/>
          <w:rtl w:val="0"/>
        </w:rPr>
        <w:t xml:space="preserve">Introduction, establish relevance specifically to what is being asked. This is not a job application. You are an adviser/business owner, you pay the levy, you have experience with SMSF etc. You don’t need to summarise your arguments, this is not a long submission and they’ll read it anyway.</w:t>
      </w:r>
    </w:p>
    <w:p w:rsidR="00000000" w:rsidDel="00000000" w:rsidP="00000000" w:rsidRDefault="00000000" w:rsidRPr="00000000" w14:paraId="00000067">
      <w:pPr>
        <w:rPr>
          <w:color w:val="ee0000"/>
        </w:rPr>
      </w:pPr>
      <w:r w:rsidDel="00000000" w:rsidR="00000000" w:rsidRPr="00000000">
        <w:rPr>
          <w:color w:val="ee0000"/>
          <w:rtl w:val="0"/>
        </w:rPr>
        <w:t xml:space="preserve">My name is Nathan Fradley, a self-employed 923A Independent Financial Adviser. I have been a Financial Adviser for 15 years, including providing advice to SMSF trustees. </w:t>
      </w:r>
    </w:p>
    <w:p w:rsidR="00000000" w:rsidDel="00000000" w:rsidP="00000000" w:rsidRDefault="00000000" w:rsidRPr="00000000" w14:paraId="00000068">
      <w:pPr>
        <w:rPr>
          <w:color w:val="ee0000"/>
        </w:rPr>
      </w:pPr>
      <w:r w:rsidDel="00000000" w:rsidR="00000000" w:rsidRPr="00000000">
        <w:rPr>
          <w:color w:val="ee0000"/>
          <w:rtl w:val="0"/>
        </w:rPr>
        <w:t xml:space="preserve">Thank you for the opportunity to make this submission, of which I have provided as clear and concise responses to the questions put forth under each proposal. </w:t>
      </w:r>
    </w:p>
    <w:p w:rsidR="00000000" w:rsidDel="00000000" w:rsidP="00000000" w:rsidRDefault="00000000" w:rsidRPr="00000000" w14:paraId="00000069">
      <w:pPr>
        <w:rPr>
          <w:b w:val="1"/>
          <w:bCs w:val="1"/>
        </w:rPr>
      </w:pPr>
      <w:r w:rsidDel="00000000" w:rsidR="00000000" w:rsidRPr="00000000">
        <w:rPr>
          <w:rtl w:val="0"/>
        </w:rPr>
      </w:r>
    </w:p>
    <w:p w:rsidR="00000000" w:rsidDel="00000000" w:rsidP="00000000" w:rsidRDefault="00000000" w:rsidRPr="00000000" w14:paraId="0000006A">
      <w:pPr>
        <w:rPr/>
      </w:pPr>
      <w:r w:rsidDel="00000000" w:rsidR="00000000" w:rsidRPr="00000000">
        <w:rPr>
          <w:b w:val="1"/>
          <w:bCs w:val="1"/>
          <w:rtl w:val="0"/>
        </w:rPr>
        <w:t xml:space="preserve">Proposal 1: Enabling CSLR to deduct payments from compensation</w:t>
      </w: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I do not/support this proposal, because...</w:t>
      </w:r>
    </w:p>
    <w:p w:rsidR="00000000" w:rsidDel="00000000" w:rsidP="00000000" w:rsidRDefault="00000000" w:rsidRPr="00000000" w14:paraId="0000006C">
      <w:pPr>
        <w:rPr/>
      </w:pPr>
      <w:r w:rsidDel="00000000" w:rsidR="00000000" w:rsidRPr="00000000">
        <w:rPr>
          <w:rtl w:val="0"/>
        </w:rPr>
        <w:t xml:space="preserve">I believe the Government should consider the following in terms of timing...</w:t>
      </w:r>
    </w:p>
    <w:p w:rsidR="00000000" w:rsidDel="00000000" w:rsidP="00000000" w:rsidRDefault="00000000" w:rsidRPr="00000000" w14:paraId="0000006D">
      <w:pPr>
        <w:rPr/>
      </w:pPr>
      <w:r w:rsidDel="00000000" w:rsidR="00000000" w:rsidRPr="00000000">
        <w:rPr>
          <w:rtl w:val="0"/>
        </w:rPr>
        <w:t xml:space="preserve">In relation to balancing timely payment with accurate information about other payments, I believe...</w:t>
      </w:r>
    </w:p>
    <w:p w:rsidR="00000000" w:rsidDel="00000000" w:rsidP="00000000" w:rsidRDefault="00000000" w:rsidRPr="00000000" w14:paraId="0000006E">
      <w:pPr>
        <w:rPr/>
      </w:pPr>
      <w:r w:rsidDel="00000000" w:rsidR="00000000" w:rsidRPr="00000000">
        <w:rPr>
          <w:rtl w:val="0"/>
        </w:rPr>
        <w:t xml:space="preserve">In relation to a clawback mechanism for cases where deductible amounts were not known at the time of payment, I believe...</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b w:val="1"/>
          <w:bCs w:val="1"/>
          <w:rtl w:val="0"/>
        </w:rPr>
        <w:t xml:space="preserve">Proposal 2: Expanding CSLR subrogation rights</w:t>
      </w: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I support/do not support Option 1/Option 2 to expand the CSLR operator's subrogation rights because...</w:t>
      </w:r>
    </w:p>
    <w:p w:rsidR="00000000" w:rsidDel="00000000" w:rsidP="00000000" w:rsidRDefault="00000000" w:rsidRPr="00000000" w14:paraId="00000072">
      <w:pPr>
        <w:rPr/>
      </w:pPr>
      <w:r w:rsidDel="00000000" w:rsidR="00000000" w:rsidRPr="00000000">
        <w:rPr>
          <w:rtl w:val="0"/>
        </w:rPr>
        <w:t xml:space="preserve">I believe/do not believe there are sufficient benefits to pursuing legislative reforms in the context of limited recoveries because...</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b w:val="1"/>
          <w:bCs w:val="1"/>
          <w:rtl w:val="0"/>
        </w:rPr>
        <w:t xml:space="preserve">Proposal 3: Technical improvements</w:t>
      </w: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I support/do not support the additional technical improvement proposals because...</w:t>
      </w:r>
    </w:p>
    <w:p w:rsidR="00000000" w:rsidDel="00000000" w:rsidP="00000000" w:rsidRDefault="00000000" w:rsidRPr="00000000" w14:paraId="00000076">
      <w:pPr>
        <w:rPr/>
      </w:pPr>
      <w:r w:rsidDel="00000000" w:rsidR="00000000" w:rsidRPr="00000000">
        <w:rPr>
          <w:rtl w:val="0"/>
        </w:rPr>
        <w:t xml:space="preserve">I believe the following technical improvements should be prioritised, and for the following reasons...</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b w:val="1"/>
          <w:bCs w:val="1"/>
          <w:rtl w:val="0"/>
        </w:rPr>
        <w:t xml:space="preserve">Proposal 4: Revising the treatment of counterfactual loss for CSLR-eligible financial advice complaints</w:t>
      </w: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I support/do not support Option 1/Option 2 to support scheme sustainability because...</w:t>
      </w:r>
    </w:p>
    <w:p w:rsidR="00000000" w:rsidDel="00000000" w:rsidP="00000000" w:rsidRDefault="00000000" w:rsidRPr="00000000" w14:paraId="0000007A">
      <w:pPr>
        <w:rPr/>
      </w:pPr>
      <w:r w:rsidDel="00000000" w:rsidR="00000000" w:rsidRPr="00000000">
        <w:rPr>
          <w:rtl w:val="0"/>
        </w:rPr>
        <w:t xml:space="preserve">If neither option is appropriate, I believe the following alternative would better balance certainty, fairness and sustainability...</w:t>
      </w:r>
    </w:p>
    <w:p w:rsidR="00000000" w:rsidDel="00000000" w:rsidP="00000000" w:rsidRDefault="00000000" w:rsidRPr="00000000" w14:paraId="0000007B">
      <w:pPr>
        <w:rPr/>
      </w:pPr>
      <w:r w:rsidDel="00000000" w:rsidR="00000000" w:rsidRPr="00000000">
        <w:rPr>
          <w:rtl w:val="0"/>
        </w:rPr>
        <w:t xml:space="preserve">In relation to choosing an implementation pathway, I believe the Government should consider the following factors...</w:t>
      </w:r>
    </w:p>
    <w:p w:rsidR="00000000" w:rsidDel="00000000" w:rsidP="00000000" w:rsidRDefault="00000000" w:rsidRPr="00000000" w14:paraId="0000007C">
      <w:pPr>
        <w:rPr/>
      </w:pPr>
      <w:r w:rsidDel="00000000" w:rsidR="00000000" w:rsidRPr="00000000">
        <w:rPr>
          <w:rtl w:val="0"/>
        </w:rPr>
        <w:t xml:space="preserve">I believe CPI/the Government Bond rate is the more appropriate basis for calculating the counterfactual position because...</w:t>
      </w:r>
    </w:p>
    <w:p w:rsidR="00000000" w:rsidDel="00000000" w:rsidP="00000000" w:rsidRDefault="00000000" w:rsidRPr="00000000" w14:paraId="0000007D">
      <w:pPr>
        <w:rPr/>
      </w:pPr>
      <w:r w:rsidDel="00000000" w:rsidR="00000000" w:rsidRPr="00000000">
        <w:rPr>
          <w:rtl w:val="0"/>
        </w:rPr>
        <w:t xml:space="preserve">Alternatively, I believe the following rate would be more appropriate...</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b w:val="1"/>
          <w:bCs w:val="1"/>
          <w:rtl w:val="0"/>
        </w:rPr>
        <w:t xml:space="preserve">Proposal 5: Embedding greater certainty in the special levy framework</w:t>
      </w: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I support/do not support the introduction of a rules-based three-tier special levy waterfall framework because...</w:t>
      </w:r>
    </w:p>
    <w:p w:rsidR="00000000" w:rsidDel="00000000" w:rsidP="00000000" w:rsidRDefault="00000000" w:rsidRPr="00000000" w14:paraId="00000081">
      <w:pPr>
        <w:rPr/>
      </w:pPr>
      <w:r w:rsidDel="00000000" w:rsidR="00000000" w:rsidRPr="00000000">
        <w:rPr>
          <w:rtl w:val="0"/>
        </w:rPr>
        <w:t xml:space="preserve">If an alternative tier structure would better balance certainty, fairness and sustainability, I would suggest...</w:t>
      </w:r>
    </w:p>
    <w:p w:rsidR="00000000" w:rsidDel="00000000" w:rsidP="00000000" w:rsidRDefault="00000000" w:rsidRPr="00000000" w14:paraId="00000082">
      <w:pPr>
        <w:rPr/>
      </w:pPr>
      <w:r w:rsidDel="00000000" w:rsidR="00000000" w:rsidRPr="00000000">
        <w:rPr>
          <w:rtl w:val="0"/>
        </w:rPr>
        <w:t xml:space="preserve">I believe/do not believe that 'connection' is an appropriate basis for allocating costs across tiers in a repeatable framework because...</w:t>
      </w:r>
    </w:p>
    <w:p w:rsidR="00000000" w:rsidDel="00000000" w:rsidP="00000000" w:rsidRDefault="00000000" w:rsidRPr="00000000" w14:paraId="00000083">
      <w:pPr>
        <w:rPr/>
      </w:pPr>
      <w:r w:rsidDel="00000000" w:rsidR="00000000" w:rsidRPr="00000000">
        <w:rPr>
          <w:rtl w:val="0"/>
        </w:rPr>
        <w:t xml:space="preserve">If not, I believe the following alternative approach should be used, and could be implemented effectively in the following way...</w:t>
      </w:r>
    </w:p>
    <w:p w:rsidR="00000000" w:rsidDel="00000000" w:rsidP="00000000" w:rsidRDefault="00000000" w:rsidRPr="00000000" w14:paraId="00000084">
      <w:pPr>
        <w:rPr/>
      </w:pPr>
      <w:r w:rsidDel="00000000" w:rsidR="00000000" w:rsidRPr="00000000">
        <w:rPr>
          <w:rtl w:val="0"/>
        </w:rPr>
        <w:t xml:space="preserve">I believe 'connected' sub-sectors should be identified in practice by...</w:t>
      </w:r>
    </w:p>
    <w:p w:rsidR="00000000" w:rsidDel="00000000" w:rsidP="00000000" w:rsidRDefault="00000000" w:rsidRPr="00000000" w14:paraId="00000085">
      <w:pPr>
        <w:rPr/>
      </w:pPr>
      <w:r w:rsidDel="00000000" w:rsidR="00000000" w:rsidRPr="00000000">
        <w:rPr>
          <w:rtl w:val="0"/>
        </w:rPr>
        <w:t xml:space="preserve">I believe the following evidence and data should be used to establish 'connection' to the losses...</w:t>
      </w:r>
    </w:p>
    <w:p w:rsidR="00000000" w:rsidDel="00000000" w:rsidP="00000000" w:rsidRDefault="00000000" w:rsidRPr="00000000" w14:paraId="00000086">
      <w:pPr>
        <w:rPr/>
      </w:pPr>
      <w:r w:rsidDel="00000000" w:rsidR="00000000" w:rsidRPr="00000000">
        <w:rPr>
          <w:rtl w:val="0"/>
        </w:rPr>
        <w:t xml:space="preserve">To improve confidence in the classification of a sub-sector as 'connected', I believe the following governance or assurance steps would be appropriate...</w:t>
      </w:r>
    </w:p>
    <w:p w:rsidR="00000000" w:rsidDel="00000000" w:rsidP="00000000" w:rsidRDefault="00000000" w:rsidRPr="00000000" w14:paraId="00000087">
      <w:pPr>
        <w:rPr/>
      </w:pPr>
      <w:r w:rsidDel="00000000" w:rsidR="00000000" w:rsidRPr="00000000">
        <w:rPr>
          <w:rtl w:val="0"/>
        </w:rPr>
        <w:t xml:space="preserve">I believe the proposed special levy caps are/are not appropriately calibrated because...</w:t>
      </w:r>
    </w:p>
    <w:p w:rsidR="00000000" w:rsidDel="00000000" w:rsidP="00000000" w:rsidRDefault="00000000" w:rsidRPr="00000000" w14:paraId="00000088">
      <w:pPr>
        <w:rPr/>
      </w:pPr>
      <w:r w:rsidDel="00000000" w:rsidR="00000000" w:rsidRPr="00000000">
        <w:rPr>
          <w:rtl w:val="0"/>
        </w:rPr>
        <w:t xml:space="preserve">If not, I believe the special levy caps should be set at the following levels for each tier, for the following reasons...</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b w:val="1"/>
          <w:bCs w:val="1"/>
          <w:rtl w:val="0"/>
        </w:rPr>
        <w:t xml:space="preserve">Proposal 6: Considering responses to the role of SMSF losses in pressure on the CSLR</w:t>
      </w: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I do/do not see merit in levying a subset of SMSFs to support CSLR special levy funding pressures because...</w:t>
      </w:r>
    </w:p>
    <w:p w:rsidR="00000000" w:rsidDel="00000000" w:rsidP="00000000" w:rsidRDefault="00000000" w:rsidRPr="00000000" w14:paraId="0000008C">
      <w:pPr>
        <w:rPr/>
      </w:pPr>
      <w:r w:rsidDel="00000000" w:rsidR="00000000" w:rsidRPr="00000000">
        <w:rPr>
          <w:rtl w:val="0"/>
        </w:rPr>
        <w:t xml:space="preserve">I believe the opt-in/opt-out mechanism better balances the need for scheme sustainability with the risk of imposing costs onto SMSFs with no relevant connection to advice-related misconduct because...</w:t>
      </w:r>
    </w:p>
    <w:p w:rsidR="00000000" w:rsidDel="00000000" w:rsidP="00000000" w:rsidRDefault="00000000" w:rsidRPr="00000000" w14:paraId="0000008D">
      <w:pPr>
        <w:rPr/>
      </w:pPr>
      <w:r w:rsidDel="00000000" w:rsidR="00000000" w:rsidRPr="00000000">
        <w:rPr>
          <w:rtl w:val="0"/>
        </w:rPr>
        <w:t xml:space="preserve">Alternatively, I believe the following approach would best balance these factors...</w:t>
      </w:r>
    </w:p>
    <w:p w:rsidR="00000000" w:rsidDel="00000000" w:rsidP="00000000" w:rsidRDefault="00000000" w:rsidRPr="00000000" w14:paraId="0000008E">
      <w:pPr>
        <w:rPr/>
      </w:pPr>
      <w:r w:rsidDel="00000000" w:rsidR="00000000" w:rsidRPr="00000000">
        <w:rPr>
          <w:rtl w:val="0"/>
        </w:rPr>
        <w:t xml:space="preserve">In relation to minimising regulatory burden for SMSFs under an opt-in or opt-out model, I believe the following factors should be considered...</w:t>
      </w:r>
    </w:p>
    <w:p w:rsidR="00000000" w:rsidDel="00000000" w:rsidP="00000000" w:rsidRDefault="00000000" w:rsidRPr="00000000" w14:paraId="0000008F">
      <w:pPr>
        <w:rPr/>
      </w:pPr>
      <w:r w:rsidDel="00000000" w:rsidR="00000000" w:rsidRPr="00000000">
        <w:rPr>
          <w:i w:val="1"/>
          <w:iCs w:val="1"/>
          <w:rtl w:val="0"/>
        </w:rPr>
        <w:t xml:space="preserve">Option 1 — Opt-out mechanism:</w:t>
      </w: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I believe/do not believe that allowing SMSFs to opt-out from the levy and CSLR compensation eligibility is an appropriate means to target the levy because... The key benefits and risks of this approach include...</w:t>
      </w:r>
    </w:p>
    <w:p w:rsidR="00000000" w:rsidDel="00000000" w:rsidP="00000000" w:rsidRDefault="00000000" w:rsidRPr="00000000" w14:paraId="00000091">
      <w:pPr>
        <w:rPr/>
      </w:pPr>
      <w:r w:rsidDel="00000000" w:rsidR="00000000" w:rsidRPr="00000000">
        <w:rPr>
          <w:rtl w:val="0"/>
        </w:rPr>
        <w:t xml:space="preserve">I believe an SMSF should be required to opt-out or begin paying at the following point in time, and for the following reasons...</w:t>
      </w:r>
    </w:p>
    <w:p w:rsidR="00000000" w:rsidDel="00000000" w:rsidP="00000000" w:rsidRDefault="00000000" w:rsidRPr="00000000" w14:paraId="00000092">
      <w:pPr>
        <w:rPr/>
      </w:pPr>
      <w:r w:rsidDel="00000000" w:rsidR="00000000" w:rsidRPr="00000000">
        <w:rPr>
          <w:rtl w:val="0"/>
        </w:rPr>
        <w:t xml:space="preserve">I believe/do not believe an SMSF should be able to revoke their decision because...</w:t>
      </w:r>
    </w:p>
    <w:p w:rsidR="00000000" w:rsidDel="00000000" w:rsidP="00000000" w:rsidRDefault="00000000" w:rsidRPr="00000000" w14:paraId="00000093">
      <w:pPr>
        <w:rPr/>
      </w:pPr>
      <w:r w:rsidDel="00000000" w:rsidR="00000000" w:rsidRPr="00000000">
        <w:rPr>
          <w:i w:val="1"/>
          <w:iCs w:val="1"/>
          <w:rtl w:val="0"/>
        </w:rPr>
        <w:t xml:space="preserve">Option 1 — Opt-in mechanism:</w:t>
      </w: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I believe/do not believe that allowing SMSFs to opt-in to the levy in order to maintain CSLR compensation eligibility is an appropriate means to target the levy because... The key benefits and risks of this approach include...</w:t>
      </w:r>
    </w:p>
    <w:p w:rsidR="00000000" w:rsidDel="00000000" w:rsidP="00000000" w:rsidRDefault="00000000" w:rsidRPr="00000000" w14:paraId="00000095">
      <w:pPr>
        <w:rPr/>
      </w:pPr>
      <w:r w:rsidDel="00000000" w:rsidR="00000000" w:rsidRPr="00000000">
        <w:rPr>
          <w:rtl w:val="0"/>
        </w:rPr>
        <w:t xml:space="preserve">I believe an SMSF should be required to opt-in at the following point in time, and for the following reasons...</w:t>
      </w:r>
    </w:p>
    <w:p w:rsidR="00000000" w:rsidDel="00000000" w:rsidP="00000000" w:rsidRDefault="00000000" w:rsidRPr="00000000" w14:paraId="00000096">
      <w:pPr>
        <w:rPr/>
      </w:pPr>
      <w:r w:rsidDel="00000000" w:rsidR="00000000" w:rsidRPr="00000000">
        <w:rPr>
          <w:rtl w:val="0"/>
        </w:rPr>
        <w:t xml:space="preserve">I believe/do not believe the timing of opting in should impact eligibility for a claim from the CSLR because...</w:t>
      </w:r>
    </w:p>
    <w:p w:rsidR="00000000" w:rsidDel="00000000" w:rsidP="00000000" w:rsidRDefault="00000000" w:rsidRPr="00000000" w14:paraId="00000097">
      <w:pPr>
        <w:rPr/>
      </w:pPr>
      <w:r w:rsidDel="00000000" w:rsidR="00000000" w:rsidRPr="00000000">
        <w:rPr>
          <w:rtl w:val="0"/>
        </w:rPr>
        <w:t xml:space="preserve">I believe a reasonable and sustainable maximum annual levy per SMSF would be approximately $X, based on the following reasoning...</w:t>
      </w:r>
    </w:p>
    <w:p w:rsidR="00000000" w:rsidDel="00000000" w:rsidP="00000000" w:rsidRDefault="00000000" w:rsidRPr="00000000" w14:paraId="00000098">
      <w:pPr>
        <w:rPr/>
      </w:pPr>
      <w:r w:rsidDel="00000000" w:rsidR="00000000" w:rsidRPr="00000000">
        <w:rPr>
          <w:i w:val="1"/>
          <w:iCs w:val="1"/>
          <w:rtl w:val="0"/>
        </w:rPr>
        <w:t xml:space="preserve">Option 2:</w:t>
      </w: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I believe excluding SMSFs from CSLR eligibility compares to the Option 1 sub-options in the following way, in terms of scheme sustainability and risks for SMSFs...</w:t>
      </w:r>
    </w:p>
    <w:p w:rsidR="00000000" w:rsidDel="00000000" w:rsidP="00000000" w:rsidRDefault="00000000" w:rsidRPr="00000000" w14:paraId="0000009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B">
      <w:pPr>
        <w:rPr/>
      </w:pPr>
      <w:r w:rsidDel="00000000" w:rsidR="00000000" w:rsidRPr="00000000">
        <w:rPr>
          <w:b w:val="1"/>
          <w:bCs w:val="1"/>
          <w:rtl w:val="0"/>
        </w:rPr>
        <w:t xml:space="preserve">Proposal 7: Facilitating levying of Managed Investment Scheme (MIS)-related losses</w:t>
      </w:r>
      <w:r w:rsidDel="00000000" w:rsidR="00000000" w:rsidRPr="00000000">
        <w:rPr>
          <w:rtl w:val="0"/>
        </w:rPr>
      </w:r>
    </w:p>
    <w:p w:rsidR="00000000" w:rsidDel="00000000" w:rsidP="00000000" w:rsidRDefault="00000000" w:rsidRPr="00000000" w14:paraId="0000009C">
      <w:pPr>
        <w:rPr/>
      </w:pPr>
      <w:r w:rsidDel="00000000" w:rsidR="00000000" w:rsidRPr="00000000">
        <w:rPr>
          <w:rtl w:val="0"/>
        </w:rPr>
        <w:t xml:space="preserve">I believe/do not believe the Government should identify a 'lower-risk' segment of the MIS sector that would not be subject to the special levy because...</w:t>
      </w:r>
    </w:p>
    <w:p w:rsidR="00000000" w:rsidDel="00000000" w:rsidP="00000000" w:rsidRDefault="00000000" w:rsidRPr="00000000" w14:paraId="0000009D">
      <w:pPr>
        <w:rPr/>
      </w:pPr>
      <w:r w:rsidDel="00000000" w:rsidR="00000000" w:rsidRPr="00000000">
        <w:rPr>
          <w:rtl w:val="0"/>
        </w:rPr>
        <w:t xml:space="preserve">If so, I believe the following indicators should be used to identify a MIS as lower risk...</w:t>
      </w:r>
    </w:p>
    <w:p w:rsidR="00000000" w:rsidDel="00000000" w:rsidP="00000000" w:rsidRDefault="00000000" w:rsidRPr="00000000" w14:paraId="0000009E">
      <w:pPr>
        <w:rPr/>
      </w:pPr>
      <w:r w:rsidDel="00000000" w:rsidR="00000000" w:rsidRPr="00000000">
        <w:rPr>
          <w:rtl w:val="0"/>
        </w:rPr>
        <w:t xml:space="preserve">In relation to the regulatory burden of collecting additional data to implement risk-informed levying, I believe...</w:t>
      </w:r>
    </w:p>
    <w:p w:rsidR="00000000" w:rsidDel="00000000" w:rsidP="00000000" w:rsidRDefault="00000000" w:rsidRPr="00000000" w14:paraId="0000009F">
      <w:pPr>
        <w:rPr/>
      </w:pPr>
      <w:r w:rsidDel="00000000" w:rsidR="00000000" w:rsidRPr="00000000">
        <w:rPr>
          <w:rtl w:val="0"/>
        </w:rPr>
        <w:t xml:space="preserve">I believe the consequences of excluding lower-risk MISs from the special levy would be...</w:t>
      </w:r>
    </w:p>
    <w:p w:rsidR="00000000" w:rsidDel="00000000" w:rsidP="00000000" w:rsidRDefault="00000000" w:rsidRPr="00000000" w14:paraId="000000A0">
      <w:pPr>
        <w:rPr/>
      </w:pPr>
      <w:r w:rsidDel="00000000" w:rsidR="00000000" w:rsidRPr="00000000">
        <w:rPr>
          <w:rtl w:val="0"/>
        </w:rPr>
        <w:t xml:space="preserve">I believe the Government should weigh the trade-off between minimising administrative costs and the benefits of a more targeted approach in the following way...</w:t>
      </w:r>
    </w:p>
    <w:p w:rsidR="00000000" w:rsidDel="00000000" w:rsidP="00000000" w:rsidRDefault="00000000" w:rsidRPr="00000000" w14:paraId="000000A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2">
      <w:pPr>
        <w:rPr/>
      </w:pPr>
      <w:r w:rsidDel="00000000" w:rsidR="00000000" w:rsidRPr="00000000">
        <w:rPr>
          <w:b w:val="1"/>
          <w:bCs w:val="1"/>
          <w:rtl w:val="0"/>
        </w:rPr>
        <w:t xml:space="preserve">Proposal 8: Improving recovery of unpaid AFCA determinations within corporate groups</w:t>
      </w:r>
      <w:r w:rsidDel="00000000" w:rsidR="00000000" w:rsidRPr="00000000">
        <w:rPr>
          <w:rtl w:val="0"/>
        </w:rPr>
      </w:r>
    </w:p>
    <w:p w:rsidR="00000000" w:rsidDel="00000000" w:rsidP="00000000" w:rsidRDefault="00000000" w:rsidRPr="00000000" w14:paraId="000000A3">
      <w:pPr>
        <w:rPr/>
      </w:pPr>
      <w:r w:rsidDel="00000000" w:rsidR="00000000" w:rsidRPr="00000000">
        <w:rPr>
          <w:rtl w:val="0"/>
        </w:rPr>
        <w:t xml:space="preserve">I believe AFCA determination liabilities are avoided through misuse of corporate and insolvency frameworks to the following extent, shifting CSLR costs onto the broader sub-sector...</w:t>
      </w:r>
    </w:p>
    <w:p w:rsidR="00000000" w:rsidDel="00000000" w:rsidP="00000000" w:rsidRDefault="00000000" w:rsidRPr="00000000" w14:paraId="000000A4">
      <w:pPr>
        <w:rPr/>
      </w:pPr>
      <w:r w:rsidDel="00000000" w:rsidR="00000000" w:rsidRPr="00000000">
        <w:rPr>
          <w:rtl w:val="0"/>
        </w:rPr>
        <w:t xml:space="preserve">In relation to whether this includes transactions between solvent entities, I believe... I also believe/do not believe that transactions resulting in the evasion of these liabilities occur between unrelated entities because...</w:t>
      </w:r>
    </w:p>
    <w:p w:rsidR="00000000" w:rsidDel="00000000" w:rsidP="00000000" w:rsidRDefault="00000000" w:rsidRPr="00000000" w14:paraId="000000A5">
      <w:pPr>
        <w:rPr/>
      </w:pPr>
      <w:r w:rsidDel="00000000" w:rsidR="00000000" w:rsidRPr="00000000">
        <w:rPr>
          <w:rtl w:val="0"/>
        </w:rPr>
        <w:t xml:space="preserve">I believe the following gaps and limitations exist in the current corporate and insolvency frameworks that may allow assets or value to be shifted away from the respondent firm... The existing provisions could be enhanced in the following ways to increase their deterrent effect...</w:t>
      </w:r>
    </w:p>
    <w:p w:rsidR="00000000" w:rsidDel="00000000" w:rsidP="00000000" w:rsidRDefault="00000000" w:rsidRPr="00000000" w14:paraId="000000A6">
      <w:pPr>
        <w:rPr/>
      </w:pPr>
      <w:r w:rsidDel="00000000" w:rsidR="00000000" w:rsidRPr="00000000">
        <w:rPr>
          <w:rtl w:val="0"/>
        </w:rPr>
        <w:t xml:space="preserve">If a new related-entity liability mechanism were established under Option 2, I believe it should be designed in the following way to appropriately share responsibility while remaining proportionate, building in appropriate safeguards, and preserving long-standing corporate principles...</w:t>
      </w:r>
    </w:p>
    <w:p w:rsidR="00000000" w:rsidDel="00000000" w:rsidP="00000000" w:rsidRDefault="00000000" w:rsidRPr="00000000" w14:paraId="000000A7">
      <w:pPr>
        <w:rPr/>
      </w:pPr>
      <w:r w:rsidDel="00000000" w:rsidR="00000000" w:rsidRPr="00000000">
        <w:br w:type="page"/>
      </w:r>
      <w:r w:rsidDel="00000000" w:rsidR="00000000" w:rsidRPr="00000000">
        <w:rPr>
          <w:rtl w:val="0"/>
        </w:rPr>
      </w:r>
    </w:p>
    <w:p w:rsidR="00000000" w:rsidDel="00000000" w:rsidP="00000000" w:rsidRDefault="00000000" w:rsidRPr="00000000" w14:paraId="000000A8">
      <w:pPr>
        <w:pStyle w:val="Heading1"/>
        <w:rPr/>
      </w:pPr>
      <w:bookmarkStart w:colFirst="0" w:colLast="0" w:name="_heading=h.1veudgmnxfs" w:id="3"/>
      <w:bookmarkEnd w:id="3"/>
      <w:r w:rsidDel="00000000" w:rsidR="00000000" w:rsidRPr="00000000">
        <w:rPr>
          <w:rtl w:val="0"/>
        </w:rPr>
        <w:t xml:space="preserve">Key Points from the Podcast Discussion</w:t>
      </w:r>
    </w:p>
    <w:p w:rsidR="00000000" w:rsidDel="00000000" w:rsidP="00000000" w:rsidRDefault="00000000" w:rsidRPr="00000000" w14:paraId="000000A9">
      <w:pPr>
        <w:rPr>
          <w:i w:val="1"/>
          <w:iCs w:val="1"/>
        </w:rPr>
      </w:pPr>
      <w:r w:rsidDel="00000000" w:rsidR="00000000" w:rsidRPr="00000000">
        <w:rPr>
          <w:i w:val="1"/>
          <w:iCs w:val="1"/>
          <w:rtl w:val="0"/>
        </w:rPr>
        <w:t xml:space="preserve">Note this is a claude summary from the Ep Transcript. The ep was a discussion that helped us form our views, and may not be our views or the approach we take in the submission, and while we read through it, claude may have misinterpreted. </w:t>
      </w:r>
    </w:p>
    <w:p w:rsidR="00000000" w:rsidDel="00000000" w:rsidP="00000000" w:rsidRDefault="00000000" w:rsidRPr="00000000" w14:paraId="000000AA">
      <w:pPr>
        <w:rPr/>
      </w:pPr>
      <w:r w:rsidDel="00000000" w:rsidR="00000000" w:rsidRPr="00000000">
        <w:rPr>
          <w:b w:val="1"/>
          <w:bCs w:val="1"/>
          <w:rtl w:val="0"/>
        </w:rPr>
        <w:t xml:space="preserve">Proposal 1: Enabling CSLR to deduct payments from compensation</w:t>
      </w:r>
      <w:r w:rsidDel="00000000" w:rsidR="00000000" w:rsidRPr="00000000">
        <w:rPr>
          <w:rtl w:val="0"/>
        </w:rPr>
      </w:r>
    </w:p>
    <w:p w:rsidR="00000000" w:rsidDel="00000000" w:rsidP="00000000" w:rsidRDefault="00000000" w:rsidRPr="00000000" w14:paraId="000000AB">
      <w:pPr>
        <w:rPr/>
      </w:pPr>
      <w:r w:rsidDel="00000000" w:rsidR="00000000" w:rsidRPr="00000000">
        <w:rPr>
          <w:rtl w:val="0"/>
        </w:rPr>
        <w:t xml:space="preserve">Key points:</w:t>
      </w:r>
    </w:p>
    <w:p w:rsidR="00000000" w:rsidDel="00000000" w:rsidP="00000000" w:rsidRDefault="00000000" w:rsidRPr="00000000" w14:paraId="000000AC">
      <w:pPr>
        <w:numPr>
          <w:ilvl w:val="0"/>
          <w:numId w:val="6"/>
        </w:numPr>
        <w:ind w:left="720" w:hanging="360"/>
        <w:rPr/>
      </w:pPr>
      <w:r w:rsidDel="00000000" w:rsidR="00000000" w:rsidRPr="00000000">
        <w:rPr>
          <w:rtl w:val="0"/>
        </w:rPr>
        <w:t xml:space="preserve">The current drafting appears to be a legislative oversight — it should have always been the case that other compensation received offsets the CSLR payment</w:t>
      </w:r>
    </w:p>
    <w:p w:rsidR="00000000" w:rsidDel="00000000" w:rsidP="00000000" w:rsidRDefault="00000000" w:rsidRPr="00000000" w14:paraId="000000AD">
      <w:pPr>
        <w:numPr>
          <w:ilvl w:val="0"/>
          <w:numId w:val="6"/>
        </w:numPr>
        <w:ind w:left="720" w:hanging="360"/>
        <w:rPr/>
      </w:pPr>
      <w:r w:rsidDel="00000000" w:rsidR="00000000" w:rsidRPr="00000000">
        <w:rPr>
          <w:rtl w:val="0"/>
        </w:rPr>
        <w:t xml:space="preserve">The clawback mechanism is the preferred approach — pay the compensation promptly, but if the claimant subsequently receives other funds (class action settlement, DOCA distribution, insurance proceeds), they have an obligation to repay</w:t>
      </w:r>
    </w:p>
    <w:p w:rsidR="00000000" w:rsidDel="00000000" w:rsidP="00000000" w:rsidRDefault="00000000" w:rsidRPr="00000000" w14:paraId="000000AE">
      <w:pPr>
        <w:numPr>
          <w:ilvl w:val="0"/>
          <w:numId w:val="6"/>
        </w:numPr>
        <w:ind w:left="720" w:hanging="360"/>
        <w:rPr/>
      </w:pPr>
      <w:r w:rsidDel="00000000" w:rsidR="00000000" w:rsidRPr="00000000">
        <w:rPr>
          <w:rtl w:val="0"/>
        </w:rPr>
        <w:t xml:space="preserve">James Hardy asbestos scheme analogy — the principle of not double-dipping on compensation is well established in Australian law</w:t>
      </w:r>
    </w:p>
    <w:p w:rsidR="00000000" w:rsidDel="00000000" w:rsidP="00000000" w:rsidRDefault="00000000" w:rsidRPr="00000000" w14:paraId="000000AF">
      <w:pPr>
        <w:numPr>
          <w:ilvl w:val="0"/>
          <w:numId w:val="6"/>
        </w:numPr>
        <w:ind w:left="720" w:hanging="360"/>
        <w:rPr/>
      </w:pPr>
      <w:r w:rsidDel="00000000" w:rsidR="00000000" w:rsidRPr="00000000">
        <w:rPr>
          <w:rtl w:val="0"/>
        </w:rPr>
        <w:t xml:space="preserve">Timing is a genuine implementation challenge, particularly where external processes like class actions are slow to resolve</w:t>
      </w:r>
    </w:p>
    <w:p w:rsidR="00000000" w:rsidDel="00000000" w:rsidP="00000000" w:rsidRDefault="00000000" w:rsidRPr="00000000" w14:paraId="000000B0">
      <w:pPr>
        <w:numPr>
          <w:ilvl w:val="0"/>
          <w:numId w:val="6"/>
        </w:numPr>
        <w:ind w:left="720" w:hanging="360"/>
        <w:rPr/>
      </w:pPr>
      <w:r w:rsidDel="00000000" w:rsidR="00000000" w:rsidRPr="00000000">
        <w:rPr>
          <w:rtl w:val="0"/>
        </w:rPr>
        <w:t xml:space="preserve">Support in principle is appropriate where the full mechanics are not yet clear</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b w:val="1"/>
          <w:bCs w:val="1"/>
          <w:rtl w:val="0"/>
        </w:rPr>
        <w:t xml:space="preserve">Proposal 2: Expanding CSLR subrogation rights</w:t>
      </w:r>
      <w:r w:rsidDel="00000000" w:rsidR="00000000" w:rsidRPr="00000000">
        <w:rPr>
          <w:rtl w:val="0"/>
        </w:rPr>
      </w:r>
    </w:p>
    <w:p w:rsidR="00000000" w:rsidDel="00000000" w:rsidP="00000000" w:rsidRDefault="00000000" w:rsidRPr="00000000" w14:paraId="000000B3">
      <w:pPr>
        <w:rPr/>
      </w:pPr>
      <w:r w:rsidDel="00000000" w:rsidR="00000000" w:rsidRPr="00000000">
        <w:rPr>
          <w:rtl w:val="0"/>
        </w:rPr>
        <w:t xml:space="preserve">Key points:</w:t>
      </w:r>
    </w:p>
    <w:p w:rsidR="00000000" w:rsidDel="00000000" w:rsidP="00000000" w:rsidRDefault="00000000" w:rsidRPr="00000000" w14:paraId="000000B4">
      <w:pPr>
        <w:numPr>
          <w:ilvl w:val="0"/>
          <w:numId w:val="7"/>
        </w:numPr>
        <w:ind w:left="720" w:hanging="360"/>
        <w:rPr/>
      </w:pPr>
      <w:r w:rsidDel="00000000" w:rsidR="00000000" w:rsidRPr="00000000">
        <w:rPr>
          <w:rtl w:val="0"/>
        </w:rPr>
        <w:t xml:space="preserve">The current subrogation rights are clearly inadequate — CSLR has submitted proofs of debt in many cases and received only one distribution of $18,000</w:t>
      </w:r>
    </w:p>
    <w:p w:rsidR="00000000" w:rsidDel="00000000" w:rsidP="00000000" w:rsidRDefault="00000000" w:rsidRPr="00000000" w14:paraId="000000B5">
      <w:pPr>
        <w:numPr>
          <w:ilvl w:val="0"/>
          <w:numId w:val="7"/>
        </w:numPr>
        <w:ind w:left="720" w:hanging="360"/>
        <w:rPr/>
      </w:pPr>
      <w:r w:rsidDel="00000000" w:rsidR="00000000" w:rsidRPr="00000000">
        <w:rPr>
          <w:rtl w:val="0"/>
        </w:rPr>
        <w:t xml:space="preserve">External administrators are simply refusing to recognise the CSLR's subrogation right, which is the practical gap this proposal addresses</w:t>
      </w:r>
    </w:p>
    <w:p w:rsidR="00000000" w:rsidDel="00000000" w:rsidP="00000000" w:rsidRDefault="00000000" w:rsidRPr="00000000" w14:paraId="000000B6">
      <w:pPr>
        <w:numPr>
          <w:ilvl w:val="0"/>
          <w:numId w:val="7"/>
        </w:numPr>
        <w:ind w:left="720" w:hanging="360"/>
        <w:rPr/>
      </w:pPr>
      <w:r w:rsidDel="00000000" w:rsidR="00000000" w:rsidRPr="00000000">
        <w:rPr>
          <w:rtl w:val="0"/>
        </w:rPr>
        <w:t xml:space="preserve">Option 2 (extending subrogation to PI insurers and non-Chapter 5 entities) is the more meaningful reform as it closes the gaps that are being exploited</w:t>
      </w:r>
    </w:p>
    <w:p w:rsidR="00000000" w:rsidDel="00000000" w:rsidP="00000000" w:rsidRDefault="00000000" w:rsidRPr="00000000" w14:paraId="000000B7">
      <w:pPr>
        <w:numPr>
          <w:ilvl w:val="0"/>
          <w:numId w:val="7"/>
        </w:numPr>
        <w:ind w:left="720" w:hanging="360"/>
        <w:rPr/>
      </w:pPr>
      <w:r w:rsidDel="00000000" w:rsidR="00000000" w:rsidRPr="00000000">
        <w:rPr>
          <w:rtl w:val="0"/>
        </w:rPr>
        <w:t xml:space="preserve">Option 1 (subrogation to the full AFCA determination amount, not just the CSLR payment) has merit in reinforcing the last resort character of the scheme and potentially deterring claimants from using CSLR as the path of least resistance</w:t>
      </w:r>
    </w:p>
    <w:p w:rsidR="00000000" w:rsidDel="00000000" w:rsidP="00000000" w:rsidRDefault="00000000" w:rsidRPr="00000000" w14:paraId="000000B8">
      <w:pPr>
        <w:numPr>
          <w:ilvl w:val="0"/>
          <w:numId w:val="7"/>
        </w:numPr>
        <w:ind w:left="720" w:hanging="360"/>
        <w:rPr/>
      </w:pPr>
      <w:r w:rsidDel="00000000" w:rsidR="00000000" w:rsidRPr="00000000">
        <w:rPr>
          <w:rtl w:val="0"/>
        </w:rPr>
        <w:t xml:space="preserve">Concern raised about the cost and efficacy of CSLR becoming a collections and litigation body — however there is a counterargument that a specialised team doing this exclusively could build genuine expertise and scale</w:t>
      </w:r>
    </w:p>
    <w:p w:rsidR="00000000" w:rsidDel="00000000" w:rsidP="00000000" w:rsidRDefault="00000000" w:rsidRPr="00000000" w14:paraId="000000B9">
      <w:pPr>
        <w:numPr>
          <w:ilvl w:val="0"/>
          <w:numId w:val="7"/>
        </w:numPr>
        <w:ind w:left="720" w:hanging="360"/>
        <w:rPr/>
      </w:pPr>
      <w:r w:rsidDel="00000000" w:rsidR="00000000" w:rsidRPr="00000000">
        <w:rPr>
          <w:rtl w:val="0"/>
        </w:rPr>
        <w:t xml:space="preserve">The UK FSCS model recovering over £310 million since 2015 is an international reference point supporting the case for expanded powers</w:t>
      </w:r>
    </w:p>
    <w:p w:rsidR="00000000" w:rsidDel="00000000" w:rsidP="00000000" w:rsidRDefault="00000000" w:rsidRPr="00000000" w14:paraId="000000BA">
      <w:pPr>
        <w:rPr/>
      </w:pPr>
      <w:r w:rsidDel="00000000" w:rsidR="00000000" w:rsidRPr="00000000">
        <w:rPr>
          <w:b w:val="1"/>
          <w:bCs w:val="1"/>
          <w:rtl w:val="0"/>
        </w:rPr>
        <w:t xml:space="preserve">Proposal 3: Technical improvements</w:t>
      </w: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Key points:</w:t>
      </w:r>
    </w:p>
    <w:p w:rsidR="00000000" w:rsidDel="00000000" w:rsidP="00000000" w:rsidRDefault="00000000" w:rsidRPr="00000000" w14:paraId="000000BC">
      <w:pPr>
        <w:numPr>
          <w:ilvl w:val="0"/>
          <w:numId w:val="8"/>
        </w:numPr>
        <w:ind w:left="720" w:hanging="360"/>
        <w:rPr/>
      </w:pPr>
      <w:r w:rsidDel="00000000" w:rsidR="00000000" w:rsidRPr="00000000">
        <w:rPr>
          <w:rtl w:val="0"/>
        </w:rPr>
        <w:t xml:space="preserve">These appear to be drafting oversights rather than policy decisions and should be corrected</w:t>
      </w:r>
    </w:p>
    <w:p w:rsidR="00000000" w:rsidDel="00000000" w:rsidP="00000000" w:rsidRDefault="00000000" w:rsidRPr="00000000" w14:paraId="000000BD">
      <w:pPr>
        <w:numPr>
          <w:ilvl w:val="0"/>
          <w:numId w:val="8"/>
        </w:numPr>
        <w:ind w:left="720" w:hanging="360"/>
        <w:rPr/>
      </w:pPr>
      <w:r w:rsidDel="00000000" w:rsidR="00000000" w:rsidRPr="00000000">
        <w:rPr>
          <w:rtl w:val="0"/>
        </w:rPr>
        <w:t xml:space="preserve">Allowing payments to multiple accounts improves practical administration and claimant experience</w:t>
      </w:r>
    </w:p>
    <w:p w:rsidR="00000000" w:rsidDel="00000000" w:rsidP="00000000" w:rsidRDefault="00000000" w:rsidRPr="00000000" w14:paraId="000000BE">
      <w:pPr>
        <w:numPr>
          <w:ilvl w:val="0"/>
          <w:numId w:val="8"/>
        </w:numPr>
        <w:ind w:left="720" w:hanging="360"/>
        <w:rPr/>
      </w:pPr>
      <w:r w:rsidDel="00000000" w:rsidR="00000000" w:rsidRPr="00000000">
        <w:rPr>
          <w:rtl w:val="0"/>
        </w:rPr>
        <w:t xml:space="preserve">The exemption gap for deregistered entities on special levies is an obvious inconsistency that should be fixed</w:t>
      </w:r>
    </w:p>
    <w:p w:rsidR="00000000" w:rsidDel="00000000" w:rsidP="00000000" w:rsidRDefault="00000000" w:rsidRPr="00000000" w14:paraId="000000BF">
      <w:pPr>
        <w:numPr>
          <w:ilvl w:val="0"/>
          <w:numId w:val="8"/>
        </w:numPr>
        <w:ind w:left="720" w:hanging="360"/>
        <w:rPr/>
      </w:pPr>
      <w:r w:rsidDel="00000000" w:rsidR="00000000" w:rsidRPr="00000000">
        <w:rPr>
          <w:rtl w:val="0"/>
        </w:rPr>
        <w:t xml:space="preserve">Preventing payments for unauthorised conduct and out-of-scope products is common sense — this should have been caught in the AFCA process but the CSLR needs the mechanism to apply it at its end as well</w:t>
      </w:r>
    </w:p>
    <w:p w:rsidR="00000000" w:rsidDel="00000000" w:rsidP="00000000" w:rsidRDefault="00000000" w:rsidRPr="00000000" w14:paraId="000000C0">
      <w:pPr>
        <w:numPr>
          <w:ilvl w:val="0"/>
          <w:numId w:val="8"/>
        </w:numPr>
        <w:ind w:left="720" w:hanging="360"/>
        <w:rPr/>
      </w:pPr>
      <w:r w:rsidDel="00000000" w:rsidR="00000000" w:rsidRPr="00000000">
        <w:rPr>
          <w:rtl w:val="0"/>
        </w:rPr>
        <w:t xml:space="preserve">Recommended to briefly note support for these in a submission as it demonstrates reasonableness and engagement with the full paper rather than only the contentious proposals</w:t>
      </w:r>
    </w:p>
    <w:p w:rsidR="00000000" w:rsidDel="00000000" w:rsidP="00000000" w:rsidRDefault="00000000" w:rsidRPr="00000000" w14:paraId="000000C1">
      <w:pPr>
        <w:numPr>
          <w:ilvl w:val="0"/>
          <w:numId w:val="8"/>
        </w:numPr>
        <w:ind w:left="720" w:hanging="360"/>
        <w:rPr/>
      </w:pPr>
      <w:r w:rsidDel="00000000" w:rsidR="00000000" w:rsidRPr="00000000">
        <w:rPr>
          <w:rtl w:val="0"/>
        </w:rPr>
        <w:t xml:space="preserve">No strong prioritisation view expressed, though the unauthorised conduct fix is noted as particularly aligned with scheme integrity</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b w:val="1"/>
          <w:bCs w:val="1"/>
          <w:rtl w:val="0"/>
        </w:rPr>
        <w:t xml:space="preserve">Proposal 4: Revising the treatment of counterfactual loss</w:t>
      </w: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Key points:</w:t>
      </w:r>
    </w:p>
    <w:p w:rsidR="00000000" w:rsidDel="00000000" w:rsidP="00000000" w:rsidRDefault="00000000" w:rsidRPr="00000000" w14:paraId="000000C5">
      <w:pPr>
        <w:numPr>
          <w:ilvl w:val="0"/>
          <w:numId w:val="9"/>
        </w:numPr>
        <w:ind w:left="720" w:hanging="360"/>
        <w:rPr/>
      </w:pPr>
      <w:r w:rsidDel="00000000" w:rsidR="00000000" w:rsidRPr="00000000">
        <w:rPr>
          <w:rtl w:val="0"/>
        </w:rPr>
        <w:t xml:space="preserve">The but-for counterfactual approach is conceptually sound — if a client would have been 30% better off in their original fund and is instead 20% worse off, they are 50% worse off due to the advice and that full gap should be compensable</w:t>
      </w:r>
    </w:p>
    <w:p w:rsidR="00000000" w:rsidDel="00000000" w:rsidP="00000000" w:rsidRDefault="00000000" w:rsidRPr="00000000" w14:paraId="000000C6">
      <w:pPr>
        <w:numPr>
          <w:ilvl w:val="0"/>
          <w:numId w:val="9"/>
        </w:numPr>
        <w:ind w:left="720" w:hanging="360"/>
        <w:rPr/>
      </w:pPr>
      <w:r w:rsidDel="00000000" w:rsidR="00000000" w:rsidRPr="00000000">
        <w:rPr>
          <w:rtl w:val="0"/>
        </w:rPr>
        <w:t xml:space="preserve">However, there is a legitimate concern where losses are assessed at the individual product level rather than across the whole portfolio — netting across the portfolio is more appropriate</w:t>
      </w:r>
    </w:p>
    <w:p w:rsidR="00000000" w:rsidDel="00000000" w:rsidP="00000000" w:rsidRDefault="00000000" w:rsidRPr="00000000" w14:paraId="000000C7">
      <w:pPr>
        <w:numPr>
          <w:ilvl w:val="0"/>
          <w:numId w:val="9"/>
        </w:numPr>
        <w:ind w:left="720" w:hanging="360"/>
        <w:rPr/>
      </w:pPr>
      <w:r w:rsidDel="00000000" w:rsidR="00000000" w:rsidRPr="00000000">
        <w:rPr>
          <w:rtl w:val="0"/>
        </w:rPr>
        <w:t xml:space="preserve">Option 1 (capital loss only) is opposed — it undermines the counterfactual entirely and does not properly compensate clients for what they lost due to misconduct</w:t>
      </w:r>
    </w:p>
    <w:p w:rsidR="00000000" w:rsidDel="00000000" w:rsidP="00000000" w:rsidRDefault="00000000" w:rsidRPr="00000000" w14:paraId="000000C8">
      <w:pPr>
        <w:numPr>
          <w:ilvl w:val="0"/>
          <w:numId w:val="9"/>
        </w:numPr>
        <w:ind w:left="720" w:hanging="360"/>
        <w:rPr/>
      </w:pPr>
      <w:r w:rsidDel="00000000" w:rsidR="00000000" w:rsidRPr="00000000">
        <w:rPr>
          <w:rtl w:val="0"/>
        </w:rPr>
        <w:t xml:space="preserve">Option 2 (CPI or bond rate benchmark) is also opposed — both benchmarks feel woefully inadequate compared to what clients were actually removed from (e.g. an industry fund returning 9-10% per annum)</w:t>
      </w:r>
    </w:p>
    <w:p w:rsidR="00000000" w:rsidDel="00000000" w:rsidP="00000000" w:rsidRDefault="00000000" w:rsidRPr="00000000" w14:paraId="000000C9">
      <w:pPr>
        <w:numPr>
          <w:ilvl w:val="0"/>
          <w:numId w:val="9"/>
        </w:numPr>
        <w:ind w:left="720" w:hanging="360"/>
        <w:rPr/>
      </w:pPr>
      <w:r w:rsidDel="00000000" w:rsidR="00000000" w:rsidRPr="00000000">
        <w:rPr>
          <w:rtl w:val="0"/>
        </w:rPr>
        <w:t xml:space="preserve">Specific concern raised that applying a benchmark rate could inadvertently create a class action pathway for any adviser whose portfolio underperforms the benchmark</w:t>
      </w:r>
    </w:p>
    <w:p w:rsidR="00000000" w:rsidDel="00000000" w:rsidP="00000000" w:rsidRDefault="00000000" w:rsidRPr="00000000" w14:paraId="000000CA">
      <w:pPr>
        <w:numPr>
          <w:ilvl w:val="0"/>
          <w:numId w:val="9"/>
        </w:numPr>
        <w:ind w:left="720" w:hanging="360"/>
        <w:rPr/>
      </w:pPr>
      <w:r w:rsidDel="00000000" w:rsidR="00000000" w:rsidRPr="00000000">
        <w:rPr>
          <w:rtl w:val="0"/>
        </w:rPr>
        <w:t xml:space="preserve">A nuanced point is raised: where the counterfactual return would be negative (e.g. a market downturn), the capital loss approach could actually produce a higher payment than the current method, so Option 1 does not consistently reduce costs</w:t>
      </w:r>
    </w:p>
    <w:p w:rsidR="00000000" w:rsidDel="00000000" w:rsidP="00000000" w:rsidRDefault="00000000" w:rsidRPr="00000000" w14:paraId="000000CB">
      <w:pPr>
        <w:numPr>
          <w:ilvl w:val="0"/>
          <w:numId w:val="9"/>
        </w:numPr>
        <w:ind w:left="720" w:hanging="360"/>
        <w:rPr/>
      </w:pPr>
      <w:r w:rsidDel="00000000" w:rsidR="00000000" w:rsidRPr="00000000">
        <w:rPr>
          <w:rtl w:val="0"/>
        </w:rPr>
        <w:t xml:space="preserve">Table 2 on page 25 provides insight into how each option would have played out. </w:t>
      </w:r>
    </w:p>
    <w:p w:rsidR="00000000" w:rsidDel="00000000" w:rsidP="00000000" w:rsidRDefault="00000000" w:rsidRPr="00000000" w14:paraId="000000CC">
      <w:pPr>
        <w:numPr>
          <w:ilvl w:val="0"/>
          <w:numId w:val="9"/>
        </w:numPr>
        <w:ind w:left="720" w:hanging="360"/>
        <w:rPr/>
      </w:pPr>
      <w:r w:rsidDel="00000000" w:rsidR="00000000" w:rsidRPr="00000000">
        <w:rPr>
          <w:rtl w:val="0"/>
        </w:rPr>
        <w:t xml:space="preserve">Implementation via the CSLR stage is preferred over the AFCA stage as it captures cases where firms are solvent at time of determination but become insolvent later</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b w:val="1"/>
          <w:bCs w:val="1"/>
          <w:rtl w:val="0"/>
        </w:rPr>
        <w:t xml:space="preserve">Proposal 5: Embedding greater certainty in the special levy framework</w:t>
      </w:r>
      <w:r w:rsidDel="00000000" w:rsidR="00000000" w:rsidRPr="00000000">
        <w:rPr>
          <w:rtl w:val="0"/>
        </w:rPr>
      </w:r>
    </w:p>
    <w:p w:rsidR="00000000" w:rsidDel="00000000" w:rsidP="00000000" w:rsidRDefault="00000000" w:rsidRPr="00000000" w14:paraId="000000CF">
      <w:pPr>
        <w:rPr/>
      </w:pPr>
      <w:r w:rsidDel="00000000" w:rsidR="00000000" w:rsidRPr="00000000">
        <w:rPr>
          <w:rtl w:val="0"/>
        </w:rPr>
        <w:t xml:space="preserve">Key points:</w:t>
      </w:r>
    </w:p>
    <w:p w:rsidR="00000000" w:rsidDel="00000000" w:rsidP="00000000" w:rsidRDefault="00000000" w:rsidRPr="00000000" w14:paraId="000000D0">
      <w:pPr>
        <w:numPr>
          <w:ilvl w:val="0"/>
          <w:numId w:val="10"/>
        </w:numPr>
        <w:ind w:left="720" w:hanging="360"/>
        <w:rPr/>
      </w:pPr>
      <w:r w:rsidDel="00000000" w:rsidR="00000000" w:rsidRPr="00000000">
        <w:rPr>
          <w:rtl w:val="0"/>
        </w:rPr>
        <w:t xml:space="preserve">The waterfall framework appears to have emerged largely from lobbying by large institutions (FSC, ICA, SIAA, FICA) who want certainty about their maximum exposure — this context is important</w:t>
      </w:r>
    </w:p>
    <w:p w:rsidR="00000000" w:rsidDel="00000000" w:rsidP="00000000" w:rsidRDefault="00000000" w:rsidRPr="00000000" w14:paraId="000000D1">
      <w:pPr>
        <w:numPr>
          <w:ilvl w:val="0"/>
          <w:numId w:val="10"/>
        </w:numPr>
        <w:ind w:left="720" w:hanging="360"/>
        <w:rPr/>
      </w:pPr>
      <w:r w:rsidDel="00000000" w:rsidR="00000000" w:rsidRPr="00000000">
        <w:rPr>
          <w:rtl w:val="0"/>
        </w:rPr>
        <w:t xml:space="preserve">The annual levy cap has been exceeded every year — the framing of "when costs exceed the cap" understates the structural nature of the problem</w:t>
      </w:r>
    </w:p>
    <w:p w:rsidR="00000000" w:rsidDel="00000000" w:rsidP="00000000" w:rsidRDefault="00000000" w:rsidRPr="00000000" w14:paraId="000000D2">
      <w:pPr>
        <w:numPr>
          <w:ilvl w:val="0"/>
          <w:numId w:val="10"/>
        </w:numPr>
        <w:ind w:left="720" w:hanging="360"/>
        <w:rPr/>
      </w:pPr>
      <w:r w:rsidDel="00000000" w:rsidR="00000000" w:rsidRPr="00000000">
        <w:rPr>
          <w:rtl w:val="0"/>
        </w:rPr>
        <w:t xml:space="preserve">Spreading costs across more sub-sectors through a rules-based waterfall does not solve the underlying problem — it just distributes the bleeding rather than stopping it</w:t>
      </w:r>
    </w:p>
    <w:p w:rsidR="00000000" w:rsidDel="00000000" w:rsidP="00000000" w:rsidRDefault="00000000" w:rsidRPr="00000000" w14:paraId="000000D3">
      <w:pPr>
        <w:numPr>
          <w:ilvl w:val="0"/>
          <w:numId w:val="10"/>
        </w:numPr>
        <w:ind w:left="720" w:hanging="360"/>
        <w:rPr/>
      </w:pPr>
      <w:r w:rsidDel="00000000" w:rsidR="00000000" w:rsidRPr="00000000">
        <w:rPr>
          <w:rtl w:val="0"/>
        </w:rPr>
        <w:t xml:space="preserve">Rules-based frameworks can be gamed — nuance and ministerial discretion have value in unusual circumstances</w:t>
      </w:r>
    </w:p>
    <w:p w:rsidR="00000000" w:rsidDel="00000000" w:rsidP="00000000" w:rsidRDefault="00000000" w:rsidRPr="00000000" w14:paraId="000000D4">
      <w:pPr>
        <w:numPr>
          <w:ilvl w:val="0"/>
          <w:numId w:val="10"/>
        </w:numPr>
        <w:ind w:left="720" w:hanging="360"/>
        <w:rPr/>
      </w:pPr>
      <w:r w:rsidDel="00000000" w:rsidR="00000000" w:rsidRPr="00000000">
        <w:rPr>
          <w:rtl w:val="0"/>
        </w:rPr>
        <w:t xml:space="preserve">However, the current ad hoc approach does create genuine uncertainty for organisations that need to provision for regulatory costs</w:t>
      </w:r>
    </w:p>
    <w:p w:rsidR="00000000" w:rsidDel="00000000" w:rsidP="00000000" w:rsidRDefault="00000000" w:rsidRPr="00000000" w14:paraId="000000D5">
      <w:pPr>
        <w:numPr>
          <w:ilvl w:val="0"/>
          <w:numId w:val="10"/>
        </w:numPr>
        <w:ind w:left="720" w:hanging="360"/>
        <w:rPr/>
      </w:pPr>
      <w:r w:rsidDel="00000000" w:rsidR="00000000" w:rsidRPr="00000000">
        <w:rPr>
          <w:rtl w:val="0"/>
        </w:rPr>
        <w:t xml:space="preserve">The connection-based tier 2 concept has merit in principle — sub-sectors whose products were used in the pathway to harm should bear more responsibility than unrelated backstop sub-sectors</w:t>
      </w:r>
    </w:p>
    <w:p w:rsidR="00000000" w:rsidDel="00000000" w:rsidP="00000000" w:rsidRDefault="00000000" w:rsidRPr="00000000" w14:paraId="000000D6">
      <w:pPr>
        <w:numPr>
          <w:ilvl w:val="0"/>
          <w:numId w:val="10"/>
        </w:numPr>
        <w:ind w:left="720" w:hanging="360"/>
        <w:rPr/>
      </w:pPr>
      <w:r w:rsidDel="00000000" w:rsidR="00000000" w:rsidRPr="00000000">
        <w:rPr>
          <w:rtl w:val="0"/>
        </w:rPr>
        <w:t xml:space="preserve">The ASIC regulatory effort approach used for the 2025-26 special levy is noted as increasingly inappropriate as the size of shortfalls grows</w:t>
      </w:r>
    </w:p>
    <w:p w:rsidR="00000000" w:rsidDel="00000000" w:rsidP="00000000" w:rsidRDefault="00000000" w:rsidRPr="00000000" w14:paraId="000000D7">
      <w:pPr>
        <w:numPr>
          <w:ilvl w:val="0"/>
          <w:numId w:val="10"/>
        </w:numPr>
        <w:ind w:left="720" w:hanging="360"/>
        <w:rPr/>
      </w:pPr>
      <w:r w:rsidDel="00000000" w:rsidR="00000000" w:rsidRPr="00000000">
        <w:rPr>
          <w:rtl w:val="0"/>
        </w:rPr>
        <w:t xml:space="preserve">This proposal is closely connected to the superannuation trustee compensation obligations being consulted on separately — if platform trustees are required to compensate members directly, it would reduce pressure on the CSLR waterfall</w:t>
      </w:r>
    </w:p>
    <w:p w:rsidR="00000000" w:rsidDel="00000000" w:rsidP="00000000" w:rsidRDefault="00000000" w:rsidRPr="00000000" w14:paraId="000000D8">
      <w:pPr>
        <w:numPr>
          <w:ilvl w:val="0"/>
          <w:numId w:val="10"/>
        </w:numPr>
        <w:ind w:left="720" w:hanging="360"/>
        <w:rPr/>
      </w:pPr>
      <w:r w:rsidDel="00000000" w:rsidR="00000000" w:rsidRPr="00000000">
        <w:rPr>
          <w:rtl w:val="0"/>
        </w:rPr>
        <w:t xml:space="preserve">Recommend engaging with this proposal but noting that structural reform to recovery mechanisms (Proposal 8) would do more to address sustainability than levy spreading</w:t>
      </w:r>
    </w:p>
    <w:p w:rsidR="00000000" w:rsidDel="00000000" w:rsidP="00000000" w:rsidRDefault="00000000" w:rsidRPr="00000000" w14:paraId="000000D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A">
      <w:pPr>
        <w:rPr/>
      </w:pPr>
      <w:r w:rsidDel="00000000" w:rsidR="00000000" w:rsidRPr="00000000">
        <w:rPr>
          <w:b w:val="1"/>
          <w:bCs w:val="1"/>
          <w:rtl w:val="0"/>
        </w:rPr>
        <w:t xml:space="preserve">Proposal 6: SMSF losses and pressure on the CSLR</w:t>
      </w:r>
      <w:r w:rsidDel="00000000" w:rsidR="00000000" w:rsidRPr="00000000">
        <w:rPr>
          <w:rtl w:val="0"/>
        </w:rPr>
      </w:r>
    </w:p>
    <w:p w:rsidR="00000000" w:rsidDel="00000000" w:rsidP="00000000" w:rsidRDefault="00000000" w:rsidRPr="00000000" w14:paraId="000000DB">
      <w:pPr>
        <w:rPr/>
      </w:pPr>
      <w:r w:rsidDel="00000000" w:rsidR="00000000" w:rsidRPr="00000000">
        <w:rPr>
          <w:rtl w:val="0"/>
        </w:rPr>
        <w:t xml:space="preserve">Key points:</w:t>
      </w:r>
    </w:p>
    <w:p w:rsidR="00000000" w:rsidDel="00000000" w:rsidP="00000000" w:rsidRDefault="00000000" w:rsidRPr="00000000" w14:paraId="000000DC">
      <w:pPr>
        <w:numPr>
          <w:ilvl w:val="0"/>
          <w:numId w:val="12"/>
        </w:numPr>
        <w:ind w:left="720" w:hanging="360"/>
        <w:rPr/>
      </w:pPr>
      <w:r w:rsidDel="00000000" w:rsidR="00000000" w:rsidRPr="00000000">
        <w:rPr>
          <w:rtl w:val="0"/>
        </w:rPr>
        <w:t xml:space="preserve">SMSFs represent 93.1% of all paid and pending CSLR cases and approximately $154 million in compensation — this is the primary driver of scheme costs and the data is unambiguous</w:t>
      </w:r>
    </w:p>
    <w:p w:rsidR="00000000" w:rsidDel="00000000" w:rsidP="00000000" w:rsidRDefault="00000000" w:rsidRPr="00000000" w14:paraId="000000DD">
      <w:pPr>
        <w:numPr>
          <w:ilvl w:val="0"/>
          <w:numId w:val="12"/>
        </w:numPr>
        <w:ind w:left="720" w:hanging="360"/>
        <w:rPr/>
      </w:pPr>
      <w:r w:rsidDel="00000000" w:rsidR="00000000" w:rsidRPr="00000000">
        <w:rPr>
          <w:rtl w:val="0"/>
        </w:rPr>
        <w:t xml:space="preserve">Average SMSF claim ($130,186) is materially higher than non-SMSF claims ($75,980)</w:t>
      </w:r>
    </w:p>
    <w:p w:rsidR="00000000" w:rsidDel="00000000" w:rsidP="00000000" w:rsidRDefault="00000000" w:rsidRPr="00000000" w14:paraId="000000DE">
      <w:pPr>
        <w:numPr>
          <w:ilvl w:val="0"/>
          <w:numId w:val="12"/>
        </w:numPr>
        <w:ind w:left="720" w:hanging="360"/>
        <w:rPr/>
      </w:pPr>
      <w:r w:rsidDel="00000000" w:rsidR="00000000" w:rsidRPr="00000000">
        <w:rPr>
          <w:rtl w:val="0"/>
        </w:rPr>
        <w:t xml:space="preserve">The fundamental tension: SMSF trustees claim the benefits of self-direction and control but expect the scheme to compensate them when things go wrong — this inconsistency needs to be addressed</w:t>
      </w:r>
    </w:p>
    <w:p w:rsidR="00000000" w:rsidDel="00000000" w:rsidP="00000000" w:rsidRDefault="00000000" w:rsidRPr="00000000" w14:paraId="000000DF">
      <w:pPr>
        <w:numPr>
          <w:ilvl w:val="0"/>
          <w:numId w:val="12"/>
        </w:numPr>
        <w:ind w:left="720" w:hanging="360"/>
        <w:rPr/>
      </w:pPr>
      <w:r w:rsidDel="00000000" w:rsidR="00000000" w:rsidRPr="00000000">
        <w:rPr>
          <w:rtl w:val="0"/>
        </w:rPr>
        <w:t xml:space="preserve">Proposed distinction that is not currently offered in the paper: where a person received advice to establish an SMSF (and should never have been in one) they should retain CSLR eligibility because the harm flows directly from licensed advice. Where a person already had an SMSF and received advice as an existing trustee, the calculus is different</w:t>
      </w:r>
    </w:p>
    <w:p w:rsidR="00000000" w:rsidDel="00000000" w:rsidP="00000000" w:rsidRDefault="00000000" w:rsidRPr="00000000" w14:paraId="000000E0">
      <w:pPr>
        <w:numPr>
          <w:ilvl w:val="0"/>
          <w:numId w:val="12"/>
        </w:numPr>
        <w:ind w:left="720" w:hanging="360"/>
        <w:rPr/>
      </w:pPr>
      <w:r w:rsidDel="00000000" w:rsidR="00000000" w:rsidRPr="00000000">
        <w:rPr>
          <w:rtl w:val="0"/>
        </w:rPr>
        <w:t xml:space="preserve">The relevant test is whether a licensed AFCA member gave the advice — if so, the consumer protections should apply</w:t>
      </w:r>
    </w:p>
    <w:p w:rsidR="00000000" w:rsidDel="00000000" w:rsidP="00000000" w:rsidRDefault="00000000" w:rsidRPr="00000000" w14:paraId="000000E1">
      <w:pPr>
        <w:numPr>
          <w:ilvl w:val="0"/>
          <w:numId w:val="12"/>
        </w:numPr>
        <w:ind w:left="720" w:hanging="360"/>
        <w:rPr/>
      </w:pPr>
      <w:r w:rsidDel="00000000" w:rsidR="00000000" w:rsidRPr="00000000">
        <w:rPr>
          <w:rtl w:val="0"/>
        </w:rPr>
        <w:t xml:space="preserve">Option to exclude SMSFs entirely is noted as bold and potentially unjust given many cases involve clear adviser misconduct</w:t>
      </w:r>
    </w:p>
    <w:p w:rsidR="00000000" w:rsidDel="00000000" w:rsidP="00000000" w:rsidRDefault="00000000" w:rsidRPr="00000000" w14:paraId="000000E2">
      <w:pPr>
        <w:numPr>
          <w:ilvl w:val="0"/>
          <w:numId w:val="12"/>
        </w:numPr>
        <w:ind w:left="720" w:hanging="360"/>
        <w:rPr/>
      </w:pPr>
      <w:r w:rsidDel="00000000" w:rsidR="00000000" w:rsidRPr="00000000">
        <w:rPr>
          <w:rtl w:val="0"/>
        </w:rPr>
        <w:t xml:space="preserve">Opt-in vs opt-out: opt-out would create a much larger levy base and spread costs more broadly — with 653,062 SMSFs at even $300 per year, the maths produces approximately $195 million which covers the total scheme cost, though adverse selection risks exist in both models</w:t>
      </w:r>
    </w:p>
    <w:p w:rsidR="00000000" w:rsidDel="00000000" w:rsidP="00000000" w:rsidRDefault="00000000" w:rsidRPr="00000000" w14:paraId="000000E3">
      <w:pPr>
        <w:numPr>
          <w:ilvl w:val="0"/>
          <w:numId w:val="12"/>
        </w:numPr>
        <w:ind w:left="720" w:hanging="360"/>
        <w:rPr/>
      </w:pPr>
      <w:r w:rsidDel="00000000" w:rsidR="00000000" w:rsidRPr="00000000">
        <w:rPr>
          <w:rtl w:val="0"/>
        </w:rPr>
        <w:t xml:space="preserve">The irrevocable nature of the opt-out decision needs careful design</w:t>
      </w:r>
    </w:p>
    <w:p w:rsidR="00000000" w:rsidDel="00000000" w:rsidP="00000000" w:rsidRDefault="00000000" w:rsidRPr="00000000" w14:paraId="000000E4">
      <w:pPr>
        <w:numPr>
          <w:ilvl w:val="0"/>
          <w:numId w:val="12"/>
        </w:numPr>
        <w:ind w:left="720" w:hanging="360"/>
        <w:rPr/>
      </w:pPr>
      <w:r w:rsidDel="00000000" w:rsidR="00000000" w:rsidRPr="00000000">
        <w:rPr>
          <w:rtl w:val="0"/>
        </w:rPr>
        <w:t xml:space="preserve">A trustee education or licensing requirement before establishing an SMSF is raised as a broader structural reform worth noting</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b w:val="1"/>
          <w:bCs w:val="1"/>
          <w:rtl w:val="0"/>
        </w:rPr>
        <w:t xml:space="preserve">Proposal 7: MIS-related losses</w:t>
      </w:r>
      <w:r w:rsidDel="00000000" w:rsidR="00000000" w:rsidRPr="00000000">
        <w:rPr>
          <w:rtl w:val="0"/>
        </w:rPr>
      </w:r>
    </w:p>
    <w:p w:rsidR="00000000" w:rsidDel="00000000" w:rsidP="00000000" w:rsidRDefault="00000000" w:rsidRPr="00000000" w14:paraId="000000E7">
      <w:pPr>
        <w:rPr/>
      </w:pPr>
      <w:r w:rsidDel="00000000" w:rsidR="00000000" w:rsidRPr="00000000">
        <w:rPr>
          <w:i w:val="1"/>
          <w:iCs w:val="1"/>
          <w:rtl w:val="0"/>
        </w:rPr>
        <w:t xml:space="preserve">Note: This proposal was not discussed in depth in the podcast episode. No specific views were recorded.</w:t>
      </w: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b w:val="1"/>
          <w:bCs w:val="1"/>
          <w:rtl w:val="0"/>
        </w:rPr>
        <w:t xml:space="preserve">Proposal 8: Improving recovery of unpaid AFCA determinations within corporate groups</w:t>
      </w: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Key points:</w:t>
      </w:r>
    </w:p>
    <w:p w:rsidR="00000000" w:rsidDel="00000000" w:rsidP="00000000" w:rsidRDefault="00000000" w:rsidRPr="00000000" w14:paraId="000000EB">
      <w:pPr>
        <w:numPr>
          <w:ilvl w:val="0"/>
          <w:numId w:val="13"/>
        </w:numPr>
        <w:ind w:left="720" w:hanging="360"/>
        <w:rPr/>
      </w:pPr>
      <w:r w:rsidDel="00000000" w:rsidR="00000000" w:rsidRPr="00000000">
        <w:rPr>
          <w:rtl w:val="0"/>
        </w:rPr>
        <w:t xml:space="preserve">This is the proposal that actually addresses the root cause rather than spreading costs — it is the glass on the floor being swept up rather than better bandaging of feet</w:t>
      </w:r>
    </w:p>
    <w:p w:rsidR="00000000" w:rsidDel="00000000" w:rsidP="00000000" w:rsidRDefault="00000000" w:rsidRPr="00000000" w14:paraId="000000EC">
      <w:pPr>
        <w:numPr>
          <w:ilvl w:val="0"/>
          <w:numId w:val="13"/>
        </w:numPr>
        <w:ind w:left="720" w:hanging="360"/>
        <w:rPr/>
      </w:pPr>
      <w:r w:rsidDel="00000000" w:rsidR="00000000" w:rsidRPr="00000000">
        <w:rPr>
          <w:rtl w:val="0"/>
        </w:rPr>
        <w:t xml:space="preserve">The Dixon scenario is the clear case study — liabilities left in the insolvent entity while assets and client books were transferred to related entities that continued operating</w:t>
      </w:r>
    </w:p>
    <w:p w:rsidR="00000000" w:rsidDel="00000000" w:rsidP="00000000" w:rsidRDefault="00000000" w:rsidRPr="00000000" w14:paraId="000000ED">
      <w:pPr>
        <w:numPr>
          <w:ilvl w:val="0"/>
          <w:numId w:val="13"/>
        </w:numPr>
        <w:ind w:left="720" w:hanging="360"/>
        <w:rPr/>
      </w:pPr>
      <w:r w:rsidDel="00000000" w:rsidR="00000000" w:rsidRPr="00000000">
        <w:rPr>
          <w:rtl w:val="0"/>
        </w:rPr>
        <w:t xml:space="preserve">Option 2 (related entity liability mechanism) is the more powerful reform and deserves strong support</w:t>
      </w:r>
    </w:p>
    <w:p w:rsidR="00000000" w:rsidDel="00000000" w:rsidP="00000000" w:rsidRDefault="00000000" w:rsidRPr="00000000" w14:paraId="000000EE">
      <w:pPr>
        <w:numPr>
          <w:ilvl w:val="0"/>
          <w:numId w:val="13"/>
        </w:numPr>
        <w:ind w:left="720" w:hanging="360"/>
        <w:rPr/>
      </w:pPr>
      <w:r w:rsidDel="00000000" w:rsidR="00000000" w:rsidRPr="00000000">
        <w:rPr>
          <w:rtl w:val="0"/>
        </w:rPr>
        <w:t xml:space="preserve">The benefit test is the right framing — a related entity should only be liable where it has received transferred value connected to the misconduct</w:t>
      </w:r>
    </w:p>
    <w:p w:rsidR="00000000" w:rsidDel="00000000" w:rsidP="00000000" w:rsidRDefault="00000000" w:rsidRPr="00000000" w14:paraId="000000EF">
      <w:pPr>
        <w:numPr>
          <w:ilvl w:val="0"/>
          <w:numId w:val="13"/>
        </w:numPr>
        <w:ind w:left="720" w:hanging="360"/>
        <w:rPr/>
      </w:pPr>
      <w:r w:rsidDel="00000000" w:rsidR="00000000" w:rsidRPr="00000000">
        <w:rPr>
          <w:rtl w:val="0"/>
        </w:rPr>
        <w:t xml:space="preserve">Concern noted that this touches on established corporate law principles and case law, but the profession already operates under bespoke legislative frameworks and this is no different in principle</w:t>
      </w:r>
    </w:p>
    <w:p w:rsidR="00000000" w:rsidDel="00000000" w:rsidP="00000000" w:rsidRDefault="00000000" w:rsidRPr="00000000" w14:paraId="000000F0">
      <w:pPr>
        <w:numPr>
          <w:ilvl w:val="0"/>
          <w:numId w:val="13"/>
        </w:numPr>
        <w:ind w:left="720" w:hanging="360"/>
        <w:rPr/>
      </w:pPr>
      <w:r w:rsidDel="00000000" w:rsidR="00000000" w:rsidRPr="00000000">
        <w:rPr>
          <w:rtl w:val="0"/>
        </w:rPr>
        <w:t xml:space="preserve">The one distribution of $18,129 received to date despite many proofs of debt being lodged illustrates how inadequate current recovery mechanisms are</w:t>
      </w:r>
    </w:p>
    <w:p w:rsidR="00000000" w:rsidDel="00000000" w:rsidP="00000000" w:rsidRDefault="00000000" w:rsidRPr="00000000" w14:paraId="000000F1">
      <w:pPr>
        <w:numPr>
          <w:ilvl w:val="0"/>
          <w:numId w:val="13"/>
        </w:numPr>
        <w:ind w:left="720" w:hanging="360"/>
        <w:rPr/>
      </w:pPr>
      <w:r w:rsidDel="00000000" w:rsidR="00000000" w:rsidRPr="00000000">
        <w:rPr>
          <w:rtl w:val="0"/>
        </w:rPr>
        <w:t xml:space="preserve">This reform, if effective, would do more for scheme sustainability than any levy restructure</w:t>
      </w:r>
    </w:p>
    <w:p w:rsidR="00000000" w:rsidDel="00000000" w:rsidP="00000000" w:rsidRDefault="00000000" w:rsidRPr="00000000" w14:paraId="000000F2">
      <w:pPr>
        <w:numPr>
          <w:ilvl w:val="0"/>
          <w:numId w:val="13"/>
        </w:numPr>
        <w:ind w:left="720" w:hanging="360"/>
        <w:rPr/>
      </w:pPr>
      <w:r w:rsidDel="00000000" w:rsidR="00000000" w:rsidRPr="00000000">
        <w:rPr>
          <w:rtl w:val="0"/>
        </w:rPr>
        <w:t xml:space="preserve">The questions around transactions between solvent entities and between unrelated entities are important — asset transfers at undervalue to related parties warrant specific attention</w:t>
      </w:r>
    </w:p>
    <w:p w:rsidR="00000000" w:rsidDel="00000000" w:rsidP="00000000" w:rsidRDefault="00000000" w:rsidRPr="00000000" w14:paraId="000000F3">
      <w:pPr>
        <w:numPr>
          <w:ilvl w:val="0"/>
          <w:numId w:val="13"/>
        </w:numPr>
        <w:ind w:left="720" w:hanging="360"/>
        <w:rPr/>
      </w:pPr>
      <w:r w:rsidDel="00000000" w:rsidR="00000000" w:rsidRPr="00000000">
        <w:rPr>
          <w:rtl w:val="0"/>
        </w:rPr>
        <w:t xml:space="preserve">Recommended to engage strongly on this proposal as it aligns adviser interests (lower levy costs) with consumer interests (genuine accountability)</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6">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3"/>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9">
    <w:lvl w:ilvl="0">
      <w:start w:val="6"/>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0">
    <w:lvl w:ilvl="0">
      <w:start w:val="10"/>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AU"/>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b w:val="1"/>
      <w:bCs w:val="1"/>
      <w:color w:val="0a3041"/>
      <w:sz w:val="28"/>
      <w:szCs w:val="28"/>
    </w:rPr>
  </w:style>
  <w:style w:type="paragraph" w:styleId="Heading2">
    <w:name w:val="heading 2"/>
    <w:basedOn w:val="Normal"/>
    <w:next w:val="Normal"/>
    <w:pPr>
      <w:keepNext w:val="1"/>
      <w:keepLines w:val="1"/>
      <w:spacing w:after="80" w:before="160" w:lineRule="auto"/>
    </w:pPr>
    <w:rPr>
      <w:rFonts w:ascii="Play" w:cs="Play" w:eastAsia="Play" w:hAnsi="Play"/>
      <w:color w:val="0a3041"/>
      <w:sz w:val="28"/>
      <w:szCs w:val="28"/>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aaa.au/compensation-scheme-of-last-resort/?gad_source=1&amp;gad_campaignid=23787766936&amp;gbraid=0AAAAA-ZsUm1XLZwSSjyXnhL9seS3Uv0Ch&amp;gclid=Cj0KCQjw_IXQBhCkARIsADqELbJeCsZCpMyxrl8YzmBlhjj7bD8ToDijRV5dHwzGZBXKcW41S2665S8aAtGOEALw_wcB"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onsult.treasury.gov.au/c2026-725938" TargetMode="External"/><Relationship Id="rId8" Type="http://schemas.openxmlformats.org/officeDocument/2006/relationships/hyperlink" Target="https://treasury.gov.au/submission-guidelin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8BkYW+TemluDI95pZBrtvJ/cIQ==">CgMxLjAyDmgubXVuaDZ4dXlyODM5Mg5oLjJrMTJmZ2ozN3lndjIOaC4zOW1vdjE4d3NkaTcyDWguMXZldWRnbW54ZnM4AHIhMXFFc3FuOEFHZ2ZpS2JiaXR0LUlhTFZaZlpaNUlTV2ZI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0x01010076BAF9B8DB888B4893840685ADA24188</vt:lpwstr>
  </property>
  <property fmtid="{D5CDD505-2E9C-101B-9397-08002B2CF9AE}" pid="3" name="MediaServiceImageTags">
    <vt:lpwstr>MediaServiceImageTags</vt:lpwstr>
  </property>
</Properties>
</file>